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E1" w:rsidRDefault="00BD28E1" w:rsidP="00BD28E1">
      <w:pPr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BD28E1" w:rsidRPr="00EF17AC" w:rsidRDefault="00BD28E1" w:rsidP="00BD28E1">
      <w:pPr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F17AC">
        <w:rPr>
          <w:rFonts w:ascii="Arial" w:eastAsia="Times New Roman" w:hAnsi="Arial" w:cs="Arial"/>
          <w:b/>
          <w:bCs/>
          <w:sz w:val="20"/>
          <w:szCs w:val="20"/>
        </w:rPr>
        <w:t xml:space="preserve">Stan na dzień sporządzenia prospektu informacyjnego: </w:t>
      </w:r>
      <w:r>
        <w:rPr>
          <w:rFonts w:ascii="Arial" w:eastAsia="Times New Roman" w:hAnsi="Arial" w:cs="Arial"/>
          <w:b/>
          <w:sz w:val="20"/>
          <w:szCs w:val="20"/>
        </w:rPr>
        <w:t>……..</w:t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>2025</w:t>
      </w:r>
      <w:r w:rsidRPr="00EF17A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BD28E1" w:rsidRPr="00EF17AC" w:rsidRDefault="00BD28E1" w:rsidP="00BD28E1">
      <w:pPr>
        <w:spacing w:before="60" w:after="60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</w:p>
    <w:p w:rsidR="00BD28E1" w:rsidRPr="00EF17AC" w:rsidRDefault="00BD28E1" w:rsidP="00BD28E1">
      <w:pPr>
        <w:spacing w:beforeLines="60" w:before="144" w:afterLines="60" w:after="144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EF17AC">
        <w:rPr>
          <w:rFonts w:ascii="Arial" w:eastAsia="Calibri" w:hAnsi="Arial" w:cs="Arial"/>
          <w:b/>
          <w:sz w:val="20"/>
          <w:szCs w:val="20"/>
        </w:rPr>
        <w:t xml:space="preserve">PROSPEKT INFORMACYJNY </w:t>
      </w:r>
    </w:p>
    <w:p w:rsidR="00BD28E1" w:rsidRPr="00EF17AC" w:rsidRDefault="00BD28E1" w:rsidP="00BD28E1">
      <w:pPr>
        <w:spacing w:before="60" w:after="60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</w:p>
    <w:p w:rsidR="00BD28E1" w:rsidRPr="00EF17AC" w:rsidRDefault="00BD28E1" w:rsidP="00BD28E1">
      <w:pPr>
        <w:spacing w:beforeLines="60" w:before="144" w:afterLines="60" w:after="144" w:line="240" w:lineRule="auto"/>
        <w:outlineLvl w:val="0"/>
        <w:rPr>
          <w:rFonts w:ascii="Arial" w:eastAsia="Calibri" w:hAnsi="Arial" w:cs="Arial"/>
          <w:b/>
          <w:sz w:val="20"/>
          <w:szCs w:val="20"/>
        </w:rPr>
      </w:pPr>
      <w:r w:rsidRPr="00EF17AC">
        <w:rPr>
          <w:rFonts w:ascii="Arial" w:eastAsia="Calibri" w:hAnsi="Arial" w:cs="Arial"/>
          <w:b/>
          <w:sz w:val="20"/>
          <w:szCs w:val="20"/>
        </w:rPr>
        <w:t>CZĘŚĆ OGÓLNA</w:t>
      </w:r>
    </w:p>
    <w:p w:rsidR="00BD28E1" w:rsidRPr="00EF17AC" w:rsidRDefault="00BD28E1" w:rsidP="00BD28E1">
      <w:pPr>
        <w:spacing w:after="0" w:line="240" w:lineRule="auto"/>
        <w:outlineLvl w:val="0"/>
        <w:rPr>
          <w:rFonts w:ascii="Arial" w:eastAsia="Calibri" w:hAnsi="Arial" w:cs="Arial"/>
          <w:b/>
          <w:sz w:val="20"/>
          <w:szCs w:val="20"/>
        </w:rPr>
      </w:pPr>
    </w:p>
    <w:p w:rsidR="00BD28E1" w:rsidRPr="00EF17AC" w:rsidRDefault="00BD28E1" w:rsidP="00BD2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107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F17AC">
        <w:rPr>
          <w:rFonts w:ascii="Arial" w:eastAsia="Times New Roman" w:hAnsi="Arial" w:cs="Arial"/>
          <w:b/>
          <w:bCs/>
          <w:sz w:val="20"/>
          <w:szCs w:val="20"/>
        </w:rPr>
        <w:t>DANE IDENTYFIKACYJNE I KONTAKTOWE DOTYCZĄCE DEWELOPERA</w:t>
      </w:r>
    </w:p>
    <w:tbl>
      <w:tblPr>
        <w:tblpPr w:leftFromText="141" w:rightFromText="141" w:vertAnchor="text" w:horzAnchor="margin" w:tblpY="5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420"/>
      </w:tblGrid>
      <w:tr w:rsidR="00BD28E1" w:rsidRPr="00EF17AC" w:rsidTr="004E5EE1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DANE DEWELOPERA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375"/>
        </w:trPr>
        <w:tc>
          <w:tcPr>
            <w:tcW w:w="2988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Deweloper</w:t>
            </w:r>
          </w:p>
        </w:tc>
        <w:tc>
          <w:tcPr>
            <w:tcW w:w="6660" w:type="dxa"/>
            <w:gridSpan w:val="2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 xml:space="preserve"> Przedsiębiorstwo Budowlane Budotex Spółka z ograniczoną odpowiedzialnością.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KRS - 0000001813</w:t>
            </w:r>
          </w:p>
        </w:tc>
      </w:tr>
      <w:tr w:rsidR="00BD28E1" w:rsidRPr="00EF17AC" w:rsidTr="004E5EE1">
        <w:trPr>
          <w:trHeight w:val="1327"/>
        </w:trPr>
        <w:tc>
          <w:tcPr>
            <w:tcW w:w="2988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660" w:type="dxa"/>
            <w:gridSpan w:val="2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ul. Wyścigowa 56G/3a, 53-012 Wrocław</w:t>
            </w:r>
          </w:p>
        </w:tc>
      </w:tr>
      <w:tr w:rsidR="00BD28E1" w:rsidRPr="00EF17AC" w:rsidTr="004E5EE1">
        <w:trPr>
          <w:trHeight w:val="188"/>
        </w:trPr>
        <w:tc>
          <w:tcPr>
            <w:tcW w:w="2988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Numer NIP REGON</w:t>
            </w:r>
          </w:p>
        </w:tc>
        <w:tc>
          <w:tcPr>
            <w:tcW w:w="3240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899 010 68 29</w:t>
            </w:r>
          </w:p>
        </w:tc>
        <w:tc>
          <w:tcPr>
            <w:tcW w:w="3420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006022824</w:t>
            </w:r>
          </w:p>
        </w:tc>
      </w:tr>
      <w:tr w:rsidR="00BD28E1" w:rsidRPr="00EF17AC" w:rsidTr="004E5EE1">
        <w:tc>
          <w:tcPr>
            <w:tcW w:w="2988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Numer telefonu</w:t>
            </w:r>
          </w:p>
        </w:tc>
        <w:tc>
          <w:tcPr>
            <w:tcW w:w="6660" w:type="dxa"/>
            <w:gridSpan w:val="2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71 786 6530</w:t>
            </w:r>
          </w:p>
        </w:tc>
      </w:tr>
      <w:tr w:rsidR="00BD28E1" w:rsidRPr="00EF17AC" w:rsidTr="004E5EE1">
        <w:trPr>
          <w:trHeight w:val="272"/>
        </w:trPr>
        <w:tc>
          <w:tcPr>
            <w:tcW w:w="2988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6660" w:type="dxa"/>
            <w:gridSpan w:val="2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EF17AC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sekretariat@budotex.pl</w:t>
              </w:r>
            </w:hyperlink>
          </w:p>
        </w:tc>
      </w:tr>
      <w:tr w:rsidR="00BD28E1" w:rsidRPr="00EF17AC" w:rsidTr="004E5EE1">
        <w:tc>
          <w:tcPr>
            <w:tcW w:w="2988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Numer faksu</w:t>
            </w:r>
          </w:p>
        </w:tc>
        <w:tc>
          <w:tcPr>
            <w:tcW w:w="6660" w:type="dxa"/>
            <w:gridSpan w:val="2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218"/>
        </w:trPr>
        <w:tc>
          <w:tcPr>
            <w:tcW w:w="2988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Adres strony internetowej dewelopera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www.budotex.pl</w:t>
            </w:r>
          </w:p>
        </w:tc>
      </w:tr>
    </w:tbl>
    <w:p w:rsidR="00BD28E1" w:rsidRPr="00EF17AC" w:rsidRDefault="00BD28E1" w:rsidP="00BD2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00" w:afterAutospacing="1" w:line="240" w:lineRule="auto"/>
        <w:ind w:left="1077"/>
        <w:jc w:val="both"/>
        <w:rPr>
          <w:rFonts w:ascii="Arial" w:eastAsia="Times New Roman" w:hAnsi="Arial" w:cs="Arial"/>
          <w:b/>
          <w:sz w:val="20"/>
          <w:szCs w:val="20"/>
        </w:rPr>
      </w:pPr>
      <w:r w:rsidRPr="00EF17AC">
        <w:rPr>
          <w:rFonts w:ascii="Arial" w:eastAsia="Times New Roman" w:hAnsi="Arial" w:cs="Arial"/>
          <w:b/>
          <w:sz w:val="20"/>
          <w:szCs w:val="20"/>
        </w:rPr>
        <w:t>DOŚWIADCZENIE DEWELOPERA</w:t>
      </w:r>
    </w:p>
    <w:tbl>
      <w:tblPr>
        <w:tblpPr w:leftFromText="141" w:rightFromText="141" w:vertAnchor="text" w:horzAnchor="margin" w:tblpY="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BD28E1" w:rsidRPr="00EF17AC" w:rsidTr="004E5EE1">
        <w:trPr>
          <w:trHeight w:val="704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HISTORIA I UDOKUMENTOWANE DOŚWIADCZENIE DEWELOPERA</w:t>
            </w:r>
          </w:p>
          <w:p w:rsidR="00BD28E1" w:rsidRPr="00EF17AC" w:rsidRDefault="00BD28E1" w:rsidP="004E5EE1">
            <w:pPr>
              <w:numPr>
                <w:ilvl w:val="0"/>
                <w:numId w:val="6"/>
              </w:numPr>
              <w:spacing w:before="120" w:after="10" w:line="260" w:lineRule="exact"/>
              <w:ind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 xml:space="preserve">Maj 1989r. – Rozpoczęcie działalności spółki pod firmą PTU Budotex Sp. z o.o. (Przedsiębiorstwo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Techniczno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Usługowe Budotex Sp. z o.o.). Firma działała realizując inwestycje mieszkaniowe jako generalny wykonawca dla spółdzielni mieszkaniowych we Wrocławiu.</w:t>
            </w:r>
          </w:p>
          <w:p w:rsidR="00BD28E1" w:rsidRPr="00EF17AC" w:rsidRDefault="00BD28E1" w:rsidP="004E5EE1">
            <w:pPr>
              <w:numPr>
                <w:ilvl w:val="0"/>
                <w:numId w:val="6"/>
              </w:numPr>
              <w:spacing w:before="120" w:after="10" w:line="260" w:lineRule="exact"/>
              <w:ind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1995r. – Firma rozpoczęła działalność deweloperską na własny rachunek oraz działalność w zakresie zarządzania nieruchomościami.</w:t>
            </w:r>
          </w:p>
          <w:p w:rsidR="00BD28E1" w:rsidRPr="00EF17AC" w:rsidRDefault="00BD28E1" w:rsidP="004E5EE1">
            <w:pPr>
              <w:numPr>
                <w:ilvl w:val="0"/>
                <w:numId w:val="6"/>
              </w:numPr>
              <w:spacing w:before="120" w:after="10" w:line="260" w:lineRule="exact"/>
              <w:ind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1999r. – Zmiana nazwy firmy z PTU Budotex Sp. z o.o., na PB Budotex Sp. z o.o. (Przedsiębiorstwo Budowlane Budotex Sp. z o.o.).</w:t>
            </w:r>
          </w:p>
          <w:p w:rsidR="00BD28E1" w:rsidRPr="00EF17AC" w:rsidRDefault="00BD28E1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Ważniejsze inwestycje mieszkaniowe wykonane przez PB Budotex Sp. z o.o.:</w:t>
            </w:r>
          </w:p>
          <w:p w:rsidR="00BD28E1" w:rsidRPr="00EF17AC" w:rsidRDefault="00BD28E1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1.Jako generalny wykonawca: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Budynek mieszkalno-usługowy wielorodzinny w zabudowie plombowej przy ulicy Komuny Paryskiej 15-</w:t>
            </w:r>
            <w:r w:rsidRPr="00EF17AC">
              <w:rPr>
                <w:rFonts w:ascii="Arial" w:hAnsi="Arial" w:cs="Arial"/>
                <w:sz w:val="20"/>
                <w:szCs w:val="20"/>
              </w:rPr>
              <w:lastRenderedPageBreak/>
              <w:t>15a,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Budynki mieszkalno-usługowe wielorodzinne przy ulicy Długiej 66-68a i Poznańskiej 31-37, Wrocław</w:t>
            </w:r>
          </w:p>
          <w:p w:rsidR="00BD28E1" w:rsidRPr="00EF17AC" w:rsidRDefault="00BD28E1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2.Jako Deweloper: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 xml:space="preserve">● </w:t>
            </w:r>
            <w:r w:rsidRPr="00EF17AC">
              <w:rPr>
                <w:rFonts w:ascii="Arial" w:hAnsi="Arial" w:cs="Arial"/>
                <w:bCs/>
                <w:kern w:val="36"/>
                <w:sz w:val="20"/>
                <w:szCs w:val="20"/>
              </w:rPr>
              <w:t>Budynki mieszkalno-usługowe</w:t>
            </w:r>
            <w:r w:rsidRPr="00EF17AC">
              <w:rPr>
                <w:rFonts w:ascii="Arial" w:hAnsi="Arial" w:cs="Arial"/>
                <w:sz w:val="20"/>
                <w:szCs w:val="20"/>
              </w:rPr>
              <w:t xml:space="preserve"> wielorodzinne</w:t>
            </w:r>
            <w:r w:rsidRPr="00EF17AC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przy ulicy Prądzyńskiego 4-6</w:t>
            </w:r>
            <w:r w:rsidRPr="00EF17AC">
              <w:rPr>
                <w:rFonts w:ascii="Arial" w:hAnsi="Arial" w:cs="Arial"/>
                <w:sz w:val="20"/>
                <w:szCs w:val="20"/>
              </w:rPr>
              <w:t>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Budynki mieszkalno-usługowe wielorodzinne przy ulicy Wałbrzyskiej 25-29a i Cukrowej 7-11a,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Budynek mieszkalno-usługowy wielorodzinny w zabudowie plombowej przy ulicy Poniatowskiego     5-7a,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Budynki mieszkalno-usługowe wielorodzinne przy ulicy Wałbrzyskiej 9-15a,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Budynek mieszkalny wielorodzinny przy ulicy Wałbrzyskiej 19–19a,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Budynek mieszkalno-usługowy wielorodzinny w zabudowie plombowej przy ulicy Kościuszki 128,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Budynki mieszkalne wielorodzinne z garażem podziemnym przy ulicy Cukrowej 14-16a,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Budynki mieszkalne wielorodzinne z garażem podziemnym przy ulicy Cukrowej 18-20a,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Budynek mieszkalny wielorodzinny z garażem podziemnym przy ulicy Cukrowej 22-22a,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Budynki mieszkalne wielorodzinne z garażami podziemnymi przy ulicy Cukrowej 13-15c,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 xml:space="preserve">● Budynek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apartamentowo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– usługowy wielorodzinny przy ulicy Krzyckiej 86-86h,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 xml:space="preserve">● Budynki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mieszkalno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– usługowe wielorodzinne 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z garażem podziemnym</w:t>
            </w:r>
            <w:r w:rsidRPr="00EF17AC">
              <w:rPr>
                <w:rFonts w:ascii="Arial" w:hAnsi="Arial" w:cs="Arial"/>
                <w:sz w:val="20"/>
                <w:szCs w:val="20"/>
              </w:rPr>
              <w:t xml:space="preserve"> przy Ołtaszyńskiej 92a-92g,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 xml:space="preserve">● Budynki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mieszkalno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- usługowe wielorodzinne 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 xml:space="preserve">z garażami podziemnymi </w:t>
            </w:r>
            <w:r w:rsidRPr="00EF17AC">
              <w:rPr>
                <w:rFonts w:ascii="Arial" w:hAnsi="Arial" w:cs="Arial"/>
                <w:sz w:val="20"/>
                <w:szCs w:val="20"/>
              </w:rPr>
              <w:t>przy ulicy Strońskiej 7-9a i Czerniawskiej 4-4c,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● Budynek mieszkalny</w:t>
            </w:r>
            <w:r w:rsidRPr="00EF17AC">
              <w:rPr>
                <w:rFonts w:ascii="Arial" w:hAnsi="Arial" w:cs="Arial"/>
                <w:sz w:val="20"/>
                <w:szCs w:val="20"/>
              </w:rPr>
              <w:t xml:space="preserve"> wielorodzinny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 xml:space="preserve"> z garażem podziemnym przy ulicy Supińskiego 6-6a,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 xml:space="preserve">● Budynek mieszkalny wielorodzinny 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 xml:space="preserve">z garażem podziemnym </w:t>
            </w:r>
            <w:r w:rsidRPr="00EF17AC">
              <w:rPr>
                <w:rFonts w:ascii="Arial" w:hAnsi="Arial" w:cs="Arial"/>
                <w:sz w:val="20"/>
                <w:szCs w:val="20"/>
              </w:rPr>
              <w:t xml:space="preserve">przy 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ulicy Dożynkowej 3a,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● Zespół willi miejskich z garażami podziemnymi przy ulicy Wietrznej 109a-g,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 xml:space="preserve">● Budynek mieszkalny wielorodzinny 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 xml:space="preserve">z garażem podziemnym </w:t>
            </w:r>
            <w:r w:rsidRPr="00EF17AC">
              <w:rPr>
                <w:rFonts w:ascii="Arial" w:hAnsi="Arial" w:cs="Arial"/>
                <w:sz w:val="20"/>
                <w:szCs w:val="20"/>
              </w:rPr>
              <w:t xml:space="preserve">przy 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ulicy Cukrowej 5-5a,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● Zespół willi miejskich z garażami podziemnymi przy ulicy Szarugi 3-13b, Wrocław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EF17AC">
              <w:rPr>
                <w:rFonts w:ascii="Arial" w:hAnsi="Arial" w:cs="Arial"/>
                <w:sz w:val="20"/>
                <w:szCs w:val="20"/>
              </w:rPr>
              <w:t xml:space="preserve">● Budynek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mieszkalno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– usługowy wielorodzinny 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z garażem podziemnym</w:t>
            </w:r>
            <w:r w:rsidRPr="00EF17AC">
              <w:rPr>
                <w:rFonts w:ascii="Arial" w:hAnsi="Arial" w:cs="Arial"/>
                <w:sz w:val="20"/>
                <w:szCs w:val="20"/>
              </w:rPr>
              <w:t xml:space="preserve"> przy ulicy Jeździeckiej 2a-4, Wrocław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● Budynek biurowo-usługowy przy ulicy Wyścigowej 56G, Wrocław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EF17AC">
              <w:rPr>
                <w:rFonts w:ascii="Arial" w:hAnsi="Arial" w:cs="Arial"/>
                <w:sz w:val="20"/>
                <w:szCs w:val="20"/>
              </w:rPr>
              <w:t>● Zespół budynków mieszkalnych wielorodzinnych z podziemnymi garażami przy ul. Opoczyńskiej 21-43 we Wrocławiu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● Budynki mieszkalne wielorodzinne z garażem podziemnym przy ul. Birmańskiej 11-12, Wrocław</w:t>
            </w:r>
          </w:p>
          <w:p w:rsidR="00BD28E1" w:rsidRPr="00EF17AC" w:rsidRDefault="00BD28E1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 xml:space="preserve">● Budynek mieszkalno-usługowy z garażami przy ul.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Poelziga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14, Wrocław</w:t>
            </w:r>
          </w:p>
          <w:p w:rsidR="00BD28E1" w:rsidRPr="00EF17AC" w:rsidRDefault="00BD28E1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 xml:space="preserve">● Budynki mieszkalny i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aparthotel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przy ul. Rogowskiej 129-129a, Wrocław</w:t>
            </w:r>
          </w:p>
          <w:p w:rsidR="00BD28E1" w:rsidRPr="00EF17AC" w:rsidRDefault="00BD28E1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● Budynek mieszkalny przy ul. Jeździeckiej 6-6a, Wrocław</w:t>
            </w:r>
          </w:p>
          <w:p w:rsidR="00BD28E1" w:rsidRPr="00EF17AC" w:rsidRDefault="00BD28E1" w:rsidP="004E5EE1">
            <w:pPr>
              <w:spacing w:before="120" w:after="10" w:line="260" w:lineRule="exact"/>
              <w:ind w:right="-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Łącznie firma wybudowała ponad 1700 lokali mieszkalnych i użytkowych w ponad 50 budynkach, o powierzchni całkowitej ponad 120.000m</w:t>
            </w:r>
            <w:r w:rsidRPr="00EF17AC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BD28E1" w:rsidRPr="00EF17AC" w:rsidRDefault="00BD28E1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noProof/>
                <w:sz w:val="20"/>
                <w:szCs w:val="20"/>
              </w:rPr>
            </w:pP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Firma jest zarządcą nieruchomości o powierzchni ponad 150.000m</w:t>
            </w:r>
            <w:r w:rsidRPr="00EF17AC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EF17AC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35"/>
      </w:tblGrid>
      <w:tr w:rsidR="00BD28E1" w:rsidRPr="00EF17AC" w:rsidTr="004E5EE1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PRZYKŁAD UKOŃCZONEGO PRZEDSIĘWZIĘCIA DEWELOPERSKIEGO (należy wskazać, o ile istnieją, trzy ukończone przedsięwzięcia deweloperskie, w tym ostatnie)</w:t>
            </w:r>
          </w:p>
        </w:tc>
      </w:tr>
      <w:tr w:rsidR="00BD28E1" w:rsidRPr="00EF17AC" w:rsidTr="004E5EE1">
        <w:trPr>
          <w:trHeight w:val="135"/>
        </w:trPr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ul. Rogowska 129, Wrocław, Nowy Dwór</w:t>
            </w:r>
          </w:p>
        </w:tc>
      </w:tr>
      <w:tr w:rsidR="00BD28E1" w:rsidRPr="00EF17AC" w:rsidTr="004E5EE1"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23.03.2020r.</w:t>
            </w:r>
          </w:p>
        </w:tc>
      </w:tr>
      <w:tr w:rsidR="00BD28E1" w:rsidRPr="00EF17AC" w:rsidTr="004E5EE1"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26.08.2021r.</w:t>
            </w:r>
          </w:p>
        </w:tc>
      </w:tr>
      <w:tr w:rsidR="00BD28E1" w:rsidRPr="00EF17AC" w:rsidTr="004E5EE1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PRZYKŁAD INNEGO UKOŃCZONEGO PRZEDSIĘWZIĘCIA DEWELOPERSKIEGO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135"/>
        </w:trPr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Adres 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Poelziga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14, Wrocław, Żerniki</w:t>
            </w:r>
          </w:p>
        </w:tc>
      </w:tr>
      <w:tr w:rsidR="00BD28E1" w:rsidRPr="00EF17AC" w:rsidTr="004E5EE1"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01.04.2019r.</w:t>
            </w:r>
          </w:p>
        </w:tc>
      </w:tr>
      <w:tr w:rsidR="00BD28E1" w:rsidRPr="00EF17AC" w:rsidTr="004E5EE1"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23.04.2021r.</w:t>
            </w:r>
          </w:p>
        </w:tc>
      </w:tr>
      <w:tr w:rsidR="00BD28E1" w:rsidRPr="00EF17AC" w:rsidTr="004E5EE1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D28E1" w:rsidRPr="00EF17AC" w:rsidRDefault="00BD28E1" w:rsidP="004E5E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PRZYKŁAD OSTATNIEGO UKOŃCZONEGO PRZEDSIĘWZIĘCIA DEWELOPERSKIEGO</w:t>
            </w:r>
          </w:p>
          <w:p w:rsidR="00BD28E1" w:rsidRPr="00EF17AC" w:rsidRDefault="00BD28E1" w:rsidP="004E5E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135"/>
        </w:trPr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ul. Jeździecka 6-6a, Wrocław, Partynice</w:t>
            </w:r>
          </w:p>
        </w:tc>
      </w:tr>
      <w:tr w:rsidR="00BD28E1" w:rsidRPr="00EF17AC" w:rsidTr="004E5EE1"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10.03.2021r.</w:t>
            </w:r>
          </w:p>
        </w:tc>
      </w:tr>
      <w:tr w:rsidR="00BD28E1" w:rsidRPr="00EF17AC" w:rsidTr="004E5EE1">
        <w:tc>
          <w:tcPr>
            <w:tcW w:w="2813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15.05.2023r.</w:t>
            </w:r>
          </w:p>
        </w:tc>
      </w:tr>
    </w:tbl>
    <w:p w:rsidR="00BD28E1" w:rsidRPr="00EF17AC" w:rsidRDefault="00BD28E1" w:rsidP="00BD28E1">
      <w:pPr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BD28E1" w:rsidRPr="00EF17AC" w:rsidTr="004E5EE1">
        <w:tc>
          <w:tcPr>
            <w:tcW w:w="2808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Czy przeciwko deweloperowi prowadzono lub prowadzi się postępowania egzekucyjne na kwotę powyżej 100 000 zł</w:t>
            </w:r>
          </w:p>
        </w:tc>
        <w:tc>
          <w:tcPr>
            <w:tcW w:w="6840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BD28E1" w:rsidRPr="00EF17AC" w:rsidRDefault="00BD28E1" w:rsidP="00BD28E1">
      <w:pPr>
        <w:spacing w:beforeLines="60" w:before="144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BD28E1" w:rsidRPr="00EF17AC" w:rsidRDefault="00BD28E1" w:rsidP="00BD28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240" w:lineRule="auto"/>
        <w:ind w:left="107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F17AC">
        <w:rPr>
          <w:rFonts w:ascii="Arial" w:eastAsia="Times New Roman" w:hAnsi="Arial" w:cs="Arial"/>
          <w:b/>
          <w:bCs/>
          <w:sz w:val="20"/>
          <w:szCs w:val="20"/>
        </w:rPr>
        <w:t>INFORMACJE DOTYCZĄCE NIERUCHOMOŚCI I PRZEDSIĘWZIĘCIA DEWELOPERSKIEGO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1"/>
        <w:gridCol w:w="5117"/>
      </w:tblGrid>
      <w:tr w:rsidR="00BD28E1" w:rsidRPr="00EF17AC" w:rsidTr="004E5EE1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INFORMACJE DOTYCZĄCE GRUNTU I ZAGOSPODAROWANIA PRZESTRZENNEGO TERENU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135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Adres i numer działki ewidencyjnej i obrębu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1"/>
              <w:t>1)</w:t>
            </w:r>
          </w:p>
        </w:tc>
        <w:tc>
          <w:tcPr>
            <w:tcW w:w="7668" w:type="dxa"/>
            <w:gridSpan w:val="2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Wrocław, ul. Jeździecka 6-8a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Nr działki ewidencyjnej: 15/5, AM-6, obręb Partynice</w:t>
            </w:r>
          </w:p>
        </w:tc>
      </w:tr>
      <w:tr w:rsidR="00BD28E1" w:rsidRPr="00EF17AC" w:rsidTr="004E5EE1">
        <w:trPr>
          <w:trHeight w:val="98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Numer księgi wieczystej 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WR1K/00319530/3</w:t>
            </w:r>
          </w:p>
        </w:tc>
      </w:tr>
      <w:tr w:rsidR="00BD28E1" w:rsidRPr="00EF17AC" w:rsidTr="004E5EE1">
        <w:trPr>
          <w:trHeight w:val="98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Istniejące obciążenia hipoteczne nieruchomości lub wnioski o wpis w dziale czwartym księgi wieczystej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w dziale IV (hipoteka) wpisana jest hipoteka umowna do kwoty 21.397.500,00 zł (dwadzieścia jeden milionów trzysta dziewięćdziesiąt siedem tysięcy pięćset złotych); wierzytelność i stosunek prawny (numer wierzytelności/wierzytelność, stosunek prawny): zabezpieczenie wierzytelności istniejących w dniu zawarcia umowy kredytu, jak i mogących powstać w przyszłości, obejmujących kapitał, odsetki, odsetki od zadłużenia przeterminowanego, koszty egzekucyjne oraz inne koszty, wynikające z umowy kredytu, umowa kredytu obrotowego nr KNK/2300520 z dnia 30 czerwca 2023 r. zmieniona aneksem nr 1 z dnia 25 sierpnia 2023 r.; wierzyciel hipoteczny: Bank Spółdzielczy w Oleśnicy z siedzibą w Oleśnicy, KRS: 0000124429, REGON: 000510215 – Administrator hipoteki; udział (numer udziału w prawie): 1; pierwszeństwo: roszczenie wierzyciela hipotecznego o przeniesienie hipoteki umownej do kwoty 21.397.500,00 zł na miejsce opróżnione przez hipotekę umowną 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do kwoty 28.922.000,00 zł wpisaną pod nr 1, na rzecz Banku Spółdzielczego w Oleśnicy z siedzibą w Oleśnicy, Oddział w Dobroszycach - Administratora hipoteki, z chwilą gdy stanie się wolne.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BD28E1" w:rsidRPr="00EF17AC" w:rsidTr="004E5EE1">
        <w:trPr>
          <w:trHeight w:val="97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 przypadku braku księgi wieczystej informacja o powierzchni działki i stanie prawnym nieruchomości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2"/>
              <w:t>2)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97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Informacje dotyczące obiektów istniejących położonych w sąsiedztwie inwestycji i wpływających na warunki życia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3"/>
              <w:t>3)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brak</w:t>
            </w:r>
          </w:p>
        </w:tc>
      </w:tr>
      <w:tr w:rsidR="00BD28E1" w:rsidRPr="00EF17AC" w:rsidTr="004E5EE1">
        <w:trPr>
          <w:trHeight w:val="320"/>
        </w:trPr>
        <w:tc>
          <w:tcPr>
            <w:tcW w:w="1980" w:type="dxa"/>
            <w:vMerge w:val="restart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 planowania przestrzennego i inne akty prawne na podstawie przepisów odrębnych na terenie objętym przedsięwzięciem deweloperskim lub zadaniem inwestycyjnym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Ramowe studium uwarunkowań i kierunków zagospodarowania przestrzennego związku metropolitalnego</w:t>
            </w:r>
          </w:p>
        </w:tc>
        <w:tc>
          <w:tcPr>
            <w:tcW w:w="5117" w:type="dxa"/>
            <w:vMerge w:val="restart"/>
            <w:shd w:val="clear" w:color="auto" w:fill="auto"/>
          </w:tcPr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Plan na obszarze którego znajduje się nieruchomość: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64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VIII/160/03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24 kwietnia 2003r.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zespołu urbanistycznego Krzyki-Południe  w obrębie Partynice we Wrocławiu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BD28E1" w:rsidRPr="00EF17AC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Studium uwarunkowań i kierunków zagospodarowania przestrzennego gminy</w:t>
            </w:r>
          </w:p>
        </w:tc>
        <w:tc>
          <w:tcPr>
            <w:tcW w:w="5117" w:type="dxa"/>
            <w:vMerge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Miejscowy plan zagospodarowania przestrzennego</w:t>
            </w:r>
          </w:p>
        </w:tc>
        <w:tc>
          <w:tcPr>
            <w:tcW w:w="5117" w:type="dxa"/>
            <w:vMerge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Miejscowy plan rewitalizacji</w:t>
            </w:r>
          </w:p>
        </w:tc>
        <w:tc>
          <w:tcPr>
            <w:tcW w:w="5117" w:type="dxa"/>
            <w:vMerge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Miejscowy plan odbudowy </w:t>
            </w:r>
          </w:p>
        </w:tc>
        <w:tc>
          <w:tcPr>
            <w:tcW w:w="5117" w:type="dxa"/>
            <w:vMerge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Inne</w:t>
            </w: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  <w:vertAlign w:val="superscript"/>
                <w:lang w:eastAsia="pl-PL"/>
              </w:rPr>
              <w:footnoteReference w:customMarkFollows="1" w:id="4"/>
              <w:t>4)</w:t>
            </w: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117" w:type="dxa"/>
            <w:vMerge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60"/>
        </w:trPr>
        <w:tc>
          <w:tcPr>
            <w:tcW w:w="1980" w:type="dxa"/>
            <w:vMerge w:val="restart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Ustalenia obowiązującego miejscowego planu zagospodarowania przestrzennego dla terenu objętego przedsięwzięciem deweloperskim lub zadaniem inwestycyjnym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http://geoportal.wroclaw.pl/www/mpzp-pobieranie.shtml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Plan na obszarze którego znajduje się nieruchomość: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64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VIII/160/03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24 kwietnia 2003r.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zespołu urbanistycznego Krzyki-Południe  w obrębie Partynice we Wrocławiu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Przeznaczenie terenu: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1) obsługa firm i klientów,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2) transport,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3) handel detaliczny, przy spełnieniu następujących warunków: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a)  zakaz  lokalizacji obiektów o powierzchni sprzedaży powyżej 2000 m2,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b) zakaz prowadzenia działalności poza siecią sklepów,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c) zakaz lokalizacji targowisk,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4) turystyka,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5) wypoczynek,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6) gastronomia,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7) kultura,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8) opieka zdrowotna i społeczna,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9) produkcja,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   10) apartamenty mieszkalne.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Nie oznaczono w planie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20 m, mierzona od poziomu terenu  do najwyższego  gzymsu  lub okapu oraz 25 m, mierzona od poziomu terenu do najwyższej kalenicy,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co najmniej 15% powierzchni działki, po wyłączeniu powierzchni przeznaczonej na zieleń ochronną.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1,1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wskażnik</w:t>
            </w:r>
            <w:proofErr w:type="spellEnd"/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Dla terenów  wymienionych  w  ust.  1  ustala   się   komponowane nasadzenia   zieleni   wysokiej   na  co  najmniej  70%  powierzchni przeznaczonej na zieleń i rekreację.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Drogi (ulice) wewnętrzne powinny być zbudowane w sposób umożliwiający dogodną obsługę wszystkich nieruchomości (które obsługują); winny one spełniać warunki techniczne wymagane co najmniej dla ulic dojazdowych (D), przy czym w szczególności ich szerokość w liniach rozgraniczających nie powinna być mniejsza niż 10 m; dopuszcza się zastosowanie mniejszych szerokości jedynie na obszarach objętych strefami ochrony konserwatorskiej "A" i "B"</w:t>
            </w:r>
          </w:p>
        </w:tc>
      </w:tr>
      <w:tr w:rsidR="00BD28E1" w:rsidRPr="00EF17AC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1. Nowo realizowane liniowe elementy infrastruktury technicznej, z wyjątkiem odcinków linii energetycznych średniego napięcia, mają być usytuowane pod ziemią oraz przebiegać/znajdować się w liniach rozgraniczających ulic/dróg (ogólnodostępnych publicznych oraz wewnętrznych), pod warunkiem, że nie będą kolidowały z ich funkcjami komunikacyjnymi, z zastrzeżeniem ust. 2. Jeżeli umożliwiają to istniejące warunki, w pasach drogowych należy również lokalizować towarzyszące sieciom urządzenia. Ponadto dla realizacji sieci i urządzeń, zarówno podziemnych, jak i nadziemnych, wskazuje się tereny oznaczone symbolem "EE", dla których zasady zagospodarowania określono w Rozdziale II.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2. Dopuszcza się: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1) przeprowadzenie/usytuowanie wybranych nowych elementów sieci i lokalizację urządzeń infrastruktury technicznej na innych niż wymienione w ust. 1 terenach, o ile nie zostaną zakłócone podstawowe funkcje tych terenów i nie zostanie zajęte więcej niż 10% 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powierzchni jednostki terenowej; urządzenia infrastruktury technicznej towarzyszące elementom liniowym mogą być lokalizowane zarówno jako podziemne i jako nadziemne, w tym w zależności od uwarunkowań technicznych - jako wolnostojące lub wbudowane w inne obiekty.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2) przeprowadzanie napowietrznych przyłączy z istniejących napowietrznych linii przesyłowych: energetycznych i telekomunikacyjnych czasowo (tj. zanim linie zostaną skablowane i puszczone pod ziemią).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3. Przy projektowaniu nowych inwestycji należy unikać kolizji z istniejącymi elementami infrastruktury technicznej. W przypadku kolizji projektowanego zagospodarowania z tymi elementami należy je przenieść lub odpowiednio zmodyfikować, przy uwzględnieniu uwarunkowań wynikających z przepisów szczególnych oraz w uzgodnieniu z odpowiednim operatorem sieci.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4. Obsługę obszaru objętego planem w zakresie infrastruktury technicznej określa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sięnastępująco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1) zaopatrzenie w wodę poprzez podłączenie do komunalnej sieci wodociągowej, do sieci innych podmiotów lub z własnych ujęć. Sieci wodociągowe, m.in. poprzez wyposażenie w hydranty naziemne, powinny być dostosowane do wykorzystania w sytuacjach kryzysowych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2) ścieki sanitarne powinny być kierowane do sieci komunalnej lub systemem szczelnych kanałów na nie komunalną oczyszczalnię spełniającą wymagania wynikające z obowiązujących przepisów. Dopuszcza się, do czasu realizacji w pobliżu systemu kanalizacyjnego, gromadzenie ścieków w szczelnych zbiornikach i ich systematyczny wywóz na oczyszczalnię, o której była mowa wcześniej, pod warunkiem spełnienia obowiązujących w tym zakresie przepisów. Na terenach wyposażonych w kanalizację sanitarną, wszystkie obiekty, w których mogą powstawać ścieki sanitarne, powinny być niezwłocznie podłączone do tej kanalizacji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3) wszelkie ulice, place, parkingi, dojazdy o utwardzonej nawierzchni winny być wyposażone w systemy odprowadzania wód opadowych; w przypadku zastosowania nawierzchni częściowo utwardzonych ("ażurowych") należy odpowiednio zabezpieczyć środowisko gruntowo-wodne przed infiltracją zanieczyszczeń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4) wody opadowe, o których mowa w pkt. 3, przed zrzutem do cieków powierzchniowych i gruntu, winny być odpowiednio podczyszczone; może to być realizowane na obszarze planu lub poza jego granicami; warunki zrzutu powinny być uzgadniane z właściwym zarządcą rowu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5) zaopatrzenie w energię elektryczną - siecią średniego i/lub niskiego napięcia, odpowiednio do potrzeb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6) zaopatrzenie w gaz płynny lub, po zbudowaniu odpowiednich instalacji, w gaz sieciowy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7) dopuszcza się systemy ogrzewania oparte na cieple przesyłanym z elektrociepłowni, bądź na elektryczności, gazie lub oleju; dopuszcza się też niekonwencjonalne, proekologiczne systemy ogrzewania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8) telefonizacja - poprzez podłączenie do dostępnych systemów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9) gromadzenie i odprowadzanie odpadów stałych zgodnie z obowiązującymi regulacjami prawnymi - powszechnymi i miejscowymi. W szczególności wszystkie nieruchomości, na terenie których mogą być wytwarzane odpady, winny być wyposażone w urządzenia służące do gromadzenia odpadów. Urządzenia te należy utrzymywać w odpowiednim stanie sanitarnym. W przypadku składowania odpadów (lub innych materiałów) na terenie nieruchomości, należy miejsce tego składowania zabezpieczyć przed infiltracją odcieków do gruntu.</w:t>
            </w:r>
          </w:p>
        </w:tc>
      </w:tr>
      <w:tr w:rsidR="00BD28E1" w:rsidRPr="00EF17AC" w:rsidTr="004E5EE1">
        <w:trPr>
          <w:trHeight w:val="288"/>
        </w:trPr>
        <w:tc>
          <w:tcPr>
            <w:tcW w:w="1980" w:type="dxa"/>
            <w:vMerge w:val="restart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Ustalenia obowiązującego miejscowego planu zagospodarowania przestrzennego dla działek lub ich fragmentów, znajdujących się w odległości do 100 m od granicy terenu objętego przedsięwzięciem deweloperskim lub zadaniem inwestycyjnym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customMarkFollows="1" w:id="5"/>
              <w:t>*</w:t>
            </w: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>Dane według uchwały nr VIII/160/03 Rady Miejskiej Wrocławia z dnia 24.04.2003r. w sprawie uchwalenia miejscowego planu zagospodarowania przestrzennego południowej części obszaru rozwoju Krzyki-Południe w obrębie Partynice we Wrocławiu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>Sąsiadujące działki – 15/3, 15/4 znajdujące się od strony północno-zachodniej, na terenie oznaczonym wg planu symbolem U10 dla których ustalono następujące przeznaczenie: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1) obsługa firm i klientów,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2) transport,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3) handel detaliczny, przy spełnianiu następujących warunków: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>a) zakaz lokalizacji obiektów o powierzchni sprzedaży powyżej 2000m2,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>b) zakaz prowadzenia działalności poza siecią sklepów,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>c) zakaz lokalizacji targowisk,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 4) turystyka,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 5) wypoczynek,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 6) gastronomia,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 7) kultura,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 8) opieka zdrowotna i społeczna,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 9) produkcja,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 xml:space="preserve">   10) apartamenty mieszkalne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>Sąsiadujące działki –3/36 i 15/1 znajdujące się od strony północno-wschodniej na terenie zaznaczonym wg planu symbolem 13KD dla której ustalono następujące przeznaczenie: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>- teren ulicy dojazdowej klasy technicznej D, o szerokości w liniach rozgraniczających 10 m; obustronne chodniki,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lastRenderedPageBreak/>
              <w:t>Sąsiadująca działka – 6 znajdująca się od strony południowo-zachodniej na terenie oznaczonym wg planu symbolem 3KZ 1x2, dla której ustalono następujące przeznaczenie:</w:t>
            </w: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</w:p>
          <w:p w:rsidR="00BD28E1" w:rsidRPr="00EF17AC" w:rsidRDefault="00BD28E1" w:rsidP="004E5EE1">
            <w:pPr>
              <w:pStyle w:val="HTML-wstpniesformatowany"/>
              <w:jc w:val="both"/>
              <w:rPr>
                <w:rFonts w:ascii="Arial" w:hAnsi="Arial" w:cs="Arial"/>
              </w:rPr>
            </w:pPr>
            <w:r w:rsidRPr="00EF17AC">
              <w:rPr>
                <w:rFonts w:ascii="Arial" w:hAnsi="Arial" w:cs="Arial"/>
              </w:rPr>
              <w:t>- teren  ulicy  zbiorczej  klasy  technicznej  Z1x2,  o szerokości w liniach rozgraniczających 27m i 25m z lokalnym poszerzeniem do 27m w rejonie skrzyżowania z ulicą  oznaczoną na rysunku planu symbolem 2KZ 1x2 jak na  rysunku planu; obustronne chodniki; ścieżka rowerowa  dwukierunkowa po stronie wschodniej; obustronny szpaler drzew,</w:t>
            </w:r>
          </w:p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x-none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Przeznaczenia zagospodarowania obszaru w promieniu 1 km od przedmiotowej nieruchomości szczegółowo określone są w niżej wymienionych miejscowych planach zagospodarowania przestrzennego, z którymi zapoznać się można na: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http://geoportal.wroclaw.pl/www/mpzp-pobieranie.shtml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Plan na obszarze którego znajduje się nieruchomość: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64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VIII/160/03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24 kwietnia 2003r.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zespołu urbanistycznego Krzyki-Południe  w obrębie Partynice we Wrocławiu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NA POŁUDNIE: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177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L/1754/02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4 lipca 2002 roku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części obszaru rozwoju Partynie - Południe oraz zespołu urbanistycznego Toru Wyścigów Konnych, w obrębie Partynie we Wrocławiu - część A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168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XVII/496/03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29 grudnia 2003 r.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Zmieniony Planem nr 508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w sprawie uchwalenia miejscowego planu zagospodarowania przestrzennego dla odcinka drogi 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wojewódzkiej i części zespołu urbanistycznego Toru Wyścigów Konnych w obrębie Partynice we Wrocławiu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NA POŁUDNIOWY ZACHÓD: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46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XXXI/950/01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z dnia 29 marca 2001 roku 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terenów pod zabudowę przemysłową i usługową oraz budownictwo mieszkaniowe w obrębie Klecina we Wrocławiu.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NA PÓŁNOCNY-ZACHÓD: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299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XXXVIII/1227/09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24 września 2009 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w rejonie północnych części zespołów urbanistycznych Klecina i Klin Kleciński we Wrocławiu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NA PÓŁNOC: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235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XIV/339/07|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15 listopada 2007r.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w sprawie uchwalenia miejscowego planu zagospodarowania przestrzennego 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południowej części obszaru rozwoju Krzyki I we Wrocławiu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198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XVI/474/07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27 grudnia 2007r.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miejscowego planu zagospodarowania przestrzennego zachodniej części obszaru rozwoju Krzyki I we Wrocławiu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NR PLANU 354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XXIV/880/08|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11 września 2008 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obszaru pomiędzy ulicami Skarbowców i Krzycką we Wrocławiu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NA WSCHÓD: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65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XVII/495/03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29 grudnia 2003 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części obszaru rozwoju Partynice-Południe oraz zespołu urbanistycznego Toru Wyścigów Konnych, w obrębie Partynice we Wrocławiu - część B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31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VIII/279/99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23 kwietnia 1999 roku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nieruchomości przejętych od wojsk Federacji Rosyjskiej obejmujący tereny położone przy ul. Ołtaszyńskiej 72 - 76  i  84 – 88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452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XXXVI/827/12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28 grudnia 2012 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sprawie uchwalenia miejscowego planu zagospodarowania przestrzennego obszaru w rejonie ulic Zwycięskiej, Ołtaszyńskiej i Agrestowej we Wrocławiu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NA POŁUDNIOWY-WSCHÓD: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NR PLANU 102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UCHWAŁA NR V/51/03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RADY MIEJSKIEJ WROCŁAWIA</w:t>
            </w: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z dnia 23 stycznia 2003 r.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 sprawie uchwalenia miejscowego planu zagospodarowania przestrzennego nieruchomości przejętych od wojsk Federacji Rosyjskiej, obejmujących tereny przy ul. Zwycięskiej 57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Według informacji zawartych w publicznie dostępnych dokumentach w promieniu 1 km od przedmiotowej nieruchomości nie przewiduje się następujących inwestycji komunalnych: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ab/>
              <w:t>oczyszczalni ścieków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ab/>
              <w:t>spalarni śmieci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ab/>
              <w:t>wysypisk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•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ab/>
              <w:t>cmentarzy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Nie przewiduje się nowych dodatkowych korytarzy powietrznych.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x-none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Według informacji dostępnych publicznie w promieniu 1 km przewiduje się inwestycje mieszkaniowe wielorodzinne i jednorodzinne oraz usługi podstawowe. Ponadto przewiduje się budowę linii szynowych – tramwajowych oraz ulice.</w:t>
            </w:r>
          </w:p>
        </w:tc>
      </w:tr>
      <w:tr w:rsidR="00BD28E1" w:rsidRPr="00EF17AC" w:rsidTr="004E5EE1">
        <w:trPr>
          <w:trHeight w:val="288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Dla działek 15/3, 15/4 nie określono dopuszczalnego procentu zabudowy działek</w:t>
            </w:r>
          </w:p>
        </w:tc>
      </w:tr>
      <w:tr w:rsidR="00BD28E1" w:rsidRPr="00EF17AC" w:rsidTr="004E5EE1">
        <w:trPr>
          <w:trHeight w:val="288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Dla działek 15/3, 15/4 maksymalna wysokość budynków 20m, mierzona od poziomu terenu do najwyższego gzymsu lub okapu oraz 25m, mierzona od poziomu terenu do najwyższej kalenicy,</w:t>
            </w:r>
          </w:p>
        </w:tc>
      </w:tr>
      <w:tr w:rsidR="00BD28E1" w:rsidRPr="00EF17AC" w:rsidTr="004E5EE1">
        <w:trPr>
          <w:trHeight w:val="288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288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1687"/>
        </w:trPr>
        <w:tc>
          <w:tcPr>
            <w:tcW w:w="1980" w:type="dxa"/>
            <w:vMerge w:val="restart"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Ustalenia decyzji o warunkach zabudowy albo decyzji o ustaleniu lokalizacji inwestycji celu publicznego dla terenu objętego przedsięwzięciem deweloperskim lub zadaniem inwestycyjnym w przypadku braku miejscowego planu 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zagospodarowania przestrzennego</w:t>
            </w:r>
          </w:p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Funkcja zabudowy i zagospodarowania terenu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Univers-PL" w:hAnsi="Arial" w:cs="Arial"/>
                <w:sz w:val="20"/>
                <w:szCs w:val="20"/>
                <w:lang w:eastAsia="pl-PL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Univers-PL" w:hAnsi="Arial" w:cs="Arial"/>
                <w:sz w:val="20"/>
                <w:szCs w:val="20"/>
                <w:lang w:eastAsia="pl-PL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Univers-PL" w:hAnsi="Arial" w:cs="Arial"/>
                <w:sz w:val="20"/>
                <w:szCs w:val="20"/>
                <w:lang w:eastAsia="pl-PL"/>
              </w:rPr>
              <w:t>Sposób użytkowania obiektów budowlanych oraz zagospodarowania terenu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Cechy zabudowy i zagospodarowania terenu: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gabaryty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architektoniczna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usytuowanie linii zabudowy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intensywność wykorzystania terenu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73"/>
        </w:trPr>
        <w:tc>
          <w:tcPr>
            <w:tcW w:w="1980" w:type="dxa"/>
            <w:vMerge w:val="restart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Informacje dotyczące przewidzianych inwestycji w promieniu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F17AC">
                <w:rPr>
                  <w:rFonts w:ascii="Arial" w:eastAsia="Times New Roman" w:hAnsi="Arial" w:cs="Arial"/>
                  <w:sz w:val="20"/>
                  <w:szCs w:val="20"/>
                </w:rPr>
                <w:t>1 km</w:t>
              </w:r>
            </w:smartTag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od przedmiotowej nieruchomości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6"/>
              <w:t>5)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, zawarte w:</w:t>
            </w:r>
          </w:p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miejscowych planach zagospodarowania przestrzennego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studium uwarunkowań i kierunków zagospodarowania przestrzennego gminy 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decyzjach o warunkach zabudowy i zagospodarowania terenu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decyzjach o środowiskowych uwarunkowaniach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decyzjach o obszarach ograniczonego użytkowania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miejscowych planach odbudowy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mapach zagrożenia powodziowego i mapach ryzyka powodziowego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Ustalenia decyzji w zakresie rozmieszczenia inwestycji celu publicznego, mogące mieć znaczenie dla terenu objętego przedsięwzięciem deweloperskim lub zadaniem inwestycyjnym:</w:t>
            </w:r>
          </w:p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84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 o zezwoleniu na realizację inwestycji drogowej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 o ustaleniu lokalizacji linii kolejowej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 o zezwoleniu na realizację inwestycji w zakresie lotniska użytku publicznego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 o pozwoleniu na realizację inwestycji w zakresie budowli przeciwpowodziowych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 o ustaleniu lokalizacji strategicznej inwestycji w zakresie sieci przesyłowej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 o ustaleniu lokalizacji regionalnej sieci szerokopasmowej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decyzja o ustaleniu lokalizacji inwestycji w zakresie Centralnego Portu Komunikacyjnego 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decyzja o zezwoleniu na realizację inwestycji w zakresie infrastruktury dostępowej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390"/>
        </w:trPr>
        <w:tc>
          <w:tcPr>
            <w:tcW w:w="9648" w:type="dxa"/>
            <w:gridSpan w:val="3"/>
            <w:shd w:val="clear" w:color="auto" w:fill="D9D9D9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INFORMACJE DOTYCZĄCE BUDYNKU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390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Czy jest pozwolenie na budowę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7"/>
              <w:t>*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</w:rPr>
              <w:t>nie*</w:t>
            </w:r>
          </w:p>
        </w:tc>
      </w:tr>
      <w:tr w:rsidR="00BD28E1" w:rsidRPr="00EF17AC" w:rsidTr="004E5EE1">
        <w:trPr>
          <w:trHeight w:val="390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Czy pozwolenie na budowę jest ostateczne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tak*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</w:rPr>
              <w:t>nie*</w:t>
            </w:r>
          </w:p>
        </w:tc>
      </w:tr>
      <w:tr w:rsidR="00BD28E1" w:rsidRPr="00EF17AC" w:rsidTr="004E5EE1">
        <w:trPr>
          <w:trHeight w:val="390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Czy pozwolenie na budowę jest zaskarżone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</w:rPr>
              <w:t>tak*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nie*</w:t>
            </w:r>
          </w:p>
        </w:tc>
      </w:tr>
      <w:tr w:rsidR="00BD28E1" w:rsidRPr="00EF17AC" w:rsidTr="004E5EE1">
        <w:trPr>
          <w:trHeight w:val="195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Numer pozwolenia na budowę oraz nazwa organu, który je wydał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1) decyzja nr 943/2015, wydana dnia 27 lutego 2015 r. z upoważnienia Prezydenta Wrocławia przez Zastępcę Dyrektora Wydziału Architektury i Budownictwa, zatwierdzającej projekt budowlany i udzielającej pozwolenia na budowę, wraz z zaświadczeniem nr 3186/15 z dnia 2 kwietnia 2015 r. zaświadczającym, że decyzja Prezydenta Wrocławia nr 943/2015 z dnia 27.02.2015 r., wobec niewniesienia odwołania w ustawowym terminie, stała się decyzją ostateczną,</w:t>
            </w:r>
            <w:r w:rsidRPr="00EF17AC">
              <w:rPr>
                <w:rFonts w:ascii="Arial" w:hAnsi="Arial" w:cs="Arial"/>
                <w:sz w:val="20"/>
                <w:szCs w:val="20"/>
              </w:rPr>
              <w:tab/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2) decyzja nr 6774/2015, wydana dnia 23 grudnia 2015 r. z upoważnienia Prezydenta Wrocławia przez Zastępcę Dyrektora Wydziału Architektury i Budownictwa, zatwierdzającej projekt budowlany i udzielającej pozwolenia na budowę,</w:t>
            </w:r>
            <w:r w:rsidRPr="00EF17AC">
              <w:rPr>
                <w:rFonts w:ascii="Arial" w:hAnsi="Arial" w:cs="Arial"/>
                <w:sz w:val="20"/>
                <w:szCs w:val="20"/>
              </w:rPr>
              <w:tab/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3) decyzja wydana dnia 6 sierpnia 2020 r. z upoważnienia Wojewody Dolnośląskiego przez Dyrektora Wydziału Infrastruktury, uchylająca zaskarżoną decyzję nr 6774/2015, wydanej dnia 23 grudnia 2015 r. oraz zatwierdzająca projekt budowlany i udzielająca pozwolenia na budowę. Niniejsza decyzja jest ostateczna.</w:t>
            </w:r>
            <w:r w:rsidRPr="00EF17AC">
              <w:rPr>
                <w:rFonts w:ascii="Arial" w:hAnsi="Arial" w:cs="Arial"/>
                <w:sz w:val="20"/>
                <w:szCs w:val="20"/>
              </w:rPr>
              <w:tab/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4) decyzja Prezydenta Wrocławia Nr 768/2022 z dnia 30.03.2022r, zmieniająca decyzję Prezydenta Wrocławia Nr 6774/2015 z dnia 23.12.2015r. dotycząca udzielenia pozwolenia na budowę budynku usługowo-apartamentowego wraz z niezbędnym zagospodarowaniem terenu przy ul. Jeździeckiej 4a-8 we Wrocławiu ( dz. Nr 15/5, AR 6, obręb Partynice), aktualny adres: ul. Jeździecka 6a-8 we Wrocławiu, zreformowaną decyzją Wojewody Dolnośląskiego z dnia 06.08.2020r. i zatwierdzającą projekt budowlany, wraz z zaświadczeniem nr 2691/2022 z dnia 08.04.2022 zaświadczającym, że decyzja nr 768/2022 z dnia 30.03.2022r. stała się decyzją ostateczną i prawomocną w dniu 31.03.2022r.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 xml:space="preserve">5) decyzja Prezydenta Wrocławia Nr 1415/2023 z dnia 13.07.2023r, zmieniająca decyzję Prezydenta Wrocławia Nr 6774/2015 z dnia 23.12.2015r. dotycząca udzielenia pozwolenia na budowę budynku usługowo-apartamentowego wraz z niezbędnym zagospodarowaniem terenu przy ul. Jeździeckiej 4a-8 we Wrocławiu ( dz. Nr 15/5, AR 6, obręb Partynice), aktualny adres: ul. Jeździecka 6a-8 we Wrocławiu, zreformowaną decyzją Wojewody Dolnośląskiego z dnia 06.08.2020r, zmienioną ostateczną decyzję Prezydenta Wrocławia nr 768/2022 z dnia 30.03.2022r. wraz z zaświadczeniem nr 10241/2023 z dnia 07.08.2023r. </w:t>
            </w:r>
            <w:r w:rsidRPr="00EF17AC">
              <w:rPr>
                <w:rFonts w:ascii="Arial" w:hAnsi="Arial" w:cs="Arial"/>
                <w:sz w:val="20"/>
                <w:szCs w:val="20"/>
              </w:rPr>
              <w:lastRenderedPageBreak/>
              <w:t>zaświadczającym , że decyzja nr 1415/2023 z dnia 13.07.2023r. stała się decyzją ostateczną w dniu 03.08.2023r.</w:t>
            </w:r>
            <w:r w:rsidRPr="00EF17AC">
              <w:rPr>
                <w:rFonts w:ascii="Arial" w:hAnsi="Arial" w:cs="Arial"/>
                <w:sz w:val="20"/>
                <w:szCs w:val="20"/>
              </w:rPr>
              <w:br/>
              <w:t>6) decyzja nr 939/2023 o pozwoleniu na użytkowanie inwestycji pod nazwą: „budowa budynku usługowo-apartamentowego wraz z niezbędnym zagospodarowaniem terenu przy ul. Jeździeckiej 4a-8 we Wrocławiu”(dz. nr 15/5, AM-6, obręb Partynice), aktualny adres ul. Jeździecka 6a-8 we Wrocławiu , która to decyzja stała się ostateczna w dniu 17 maja 2023 r., co wynika z zaświadczenia nr 282/2023 o ostateczności decyzji , wydanego dnia 17 maja 2023 r. z upoważnienia Powiatowego Inspektora Nadzoru Budowlanego dla miasta Wrocławia</w:t>
            </w:r>
          </w:p>
          <w:p w:rsidR="00BD28E1" w:rsidRPr="009459B8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9B8">
              <w:rPr>
                <w:rFonts w:ascii="Arial" w:hAnsi="Arial" w:cs="Arial"/>
                <w:sz w:val="20"/>
                <w:szCs w:val="20"/>
              </w:rPr>
              <w:t>8) decyzj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459B8">
              <w:rPr>
                <w:rFonts w:ascii="Arial" w:hAnsi="Arial" w:cs="Arial"/>
                <w:sz w:val="20"/>
                <w:szCs w:val="20"/>
              </w:rPr>
              <w:t xml:space="preserve"> nr 2463/2024 o pozwoleniu na użytkowanie, wydan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459B8">
              <w:rPr>
                <w:rFonts w:ascii="Arial" w:hAnsi="Arial" w:cs="Arial"/>
                <w:sz w:val="20"/>
                <w:szCs w:val="20"/>
              </w:rPr>
              <w:t xml:space="preserve"> dnia 22 listopada 2024 r. przez Powiatowego Inspektora Nadzoru Budowlanego dla miasta Wrocławia, która jest ostateczna w administracyjnym toku instancji,</w:t>
            </w:r>
            <w:r w:rsidRPr="009459B8">
              <w:rPr>
                <w:rFonts w:ascii="Arial" w:hAnsi="Arial" w:cs="Arial"/>
                <w:sz w:val="20"/>
                <w:szCs w:val="20"/>
              </w:rPr>
              <w:tab/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decyzja</w:t>
            </w:r>
            <w:r w:rsidRPr="009459B8">
              <w:rPr>
                <w:rFonts w:ascii="Arial" w:hAnsi="Arial" w:cs="Arial"/>
                <w:sz w:val="20"/>
                <w:szCs w:val="20"/>
              </w:rPr>
              <w:t xml:space="preserve"> nr 466/2025 o pozwoleniu na użytkowanie, wydan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459B8">
              <w:rPr>
                <w:rFonts w:ascii="Arial" w:hAnsi="Arial" w:cs="Arial"/>
                <w:sz w:val="20"/>
                <w:szCs w:val="20"/>
              </w:rPr>
              <w:t xml:space="preserve"> dnia 28 lutego 2025 r. przez Powiatowego Inspektora Nadzoru Budowlanego dla miasta Wrocławia, która wobec zrzeczenia się prawa do wniesienia odwołania stała się ostateczna w dniu 3 marca 2025 r.,</w:t>
            </w:r>
            <w:r w:rsidRPr="009459B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D28E1" w:rsidRPr="00EF17AC" w:rsidTr="004E5EE1">
        <w:trPr>
          <w:trHeight w:val="195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Data uprawomocnienia się decyzji o pozwoleniu na użytkowanie budynku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Calibri" w:hAnsi="Calibri" w:cs="Calibri"/>
                <w:lang w:eastAsia="ar-SA"/>
              </w:rPr>
              <w:t>22 listopada 2024 r.</w:t>
            </w:r>
          </w:p>
        </w:tc>
      </w:tr>
      <w:tr w:rsidR="00BD28E1" w:rsidRPr="00EF17AC" w:rsidTr="004E5EE1">
        <w:trPr>
          <w:trHeight w:val="195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Data zakończenia budowy domu jednorodzinnego 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28E1" w:rsidRPr="00EF17AC" w:rsidTr="004E5EE1">
        <w:trPr>
          <w:trHeight w:val="195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Planowany termin rozpoczęcia i zakończenia robót budowlanych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Budynek ukończony, posiada pozwolenie na użytkowanie.</w:t>
            </w:r>
          </w:p>
        </w:tc>
      </w:tr>
      <w:tr w:rsidR="00BD28E1" w:rsidRPr="00EF17AC" w:rsidTr="004E5EE1">
        <w:trPr>
          <w:trHeight w:val="325"/>
        </w:trPr>
        <w:tc>
          <w:tcPr>
            <w:tcW w:w="1980" w:type="dxa"/>
            <w:vMerge w:val="restart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Opis przedsięwzięcia deweloperskiego albo zadania inwestycyjnego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Liczba budynków 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 budynek usługowo-apartamentowy – II etapy realizacji</w:t>
            </w:r>
          </w:p>
        </w:tc>
      </w:tr>
      <w:tr w:rsidR="00BD28E1" w:rsidRPr="00EF17AC" w:rsidTr="004E5EE1">
        <w:trPr>
          <w:trHeight w:val="325"/>
        </w:trPr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Rozmieszczenie budynków na nieruchomości (należy podać minimalny odstęp między budynkami)</w:t>
            </w:r>
          </w:p>
        </w:tc>
        <w:tc>
          <w:tcPr>
            <w:tcW w:w="5117" w:type="dxa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193D704" wp14:editId="7FAC9628">
                  <wp:extent cx="2733040" cy="20574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040" cy="205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Odległość między budynkiem I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II - 19,9m</w:t>
            </w:r>
          </w:p>
        </w:tc>
      </w:tr>
      <w:tr w:rsidR="00BD28E1" w:rsidRPr="00EF17AC" w:rsidTr="004E5EE1">
        <w:trPr>
          <w:trHeight w:val="488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Sposób pomiaru powierzchni użytkowej lokalu 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mieszkalnego albo domu jednorodzinnego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lastRenderedPageBreak/>
              <w:t>Wg Rozporządzenia Ministra Transportu, Budownictwa i Gospodarki Wodnej z 25.04.2012r. w sprawie szczegółowego zakresu, formy projektu budowlanego</w:t>
            </w:r>
          </w:p>
        </w:tc>
      </w:tr>
      <w:tr w:rsidR="00BD28E1" w:rsidRPr="00EF17AC" w:rsidTr="004E5EE1">
        <w:tc>
          <w:tcPr>
            <w:tcW w:w="1980" w:type="dxa"/>
            <w:vMerge w:val="restart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Zamierzony sposób i procentowy udział źródeł finansowania przedsięwzięcia deweloperskiego lub zadania inwestycyjnego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D28E1" w:rsidRPr="00EF17AC" w:rsidDel="00E703E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Rodzaj posiadanych środków finansowych – kredyt, środki własne, inne</w:t>
            </w:r>
          </w:p>
        </w:tc>
        <w:tc>
          <w:tcPr>
            <w:tcW w:w="5117" w:type="dxa"/>
          </w:tcPr>
          <w:p w:rsidR="00BD28E1" w:rsidRPr="00B430B8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430B8">
              <w:rPr>
                <w:rFonts w:ascii="Arial" w:hAnsi="Arial" w:cs="Arial"/>
                <w:color w:val="000000" w:themeColor="text1"/>
              </w:rPr>
              <w:t>Własne środki – 51,89%</w:t>
            </w:r>
          </w:p>
        </w:tc>
      </w:tr>
      <w:tr w:rsidR="00BD28E1" w:rsidRPr="00EF17AC" w:rsidTr="004E5EE1"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 następujących instytucjach finansowych (wypełnia się w przypadku kredytu)</w:t>
            </w:r>
          </w:p>
        </w:tc>
        <w:tc>
          <w:tcPr>
            <w:tcW w:w="5117" w:type="dxa"/>
          </w:tcPr>
          <w:p w:rsidR="00BD28E1" w:rsidRPr="00B430B8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430B8">
              <w:rPr>
                <w:rFonts w:ascii="Arial" w:hAnsi="Arial" w:cs="Arial"/>
                <w:color w:val="000000" w:themeColor="text1"/>
              </w:rPr>
              <w:t>Kredyt Bankowy – 48,11%</w:t>
            </w:r>
          </w:p>
        </w:tc>
      </w:tr>
      <w:tr w:rsidR="00BD28E1" w:rsidRPr="00EF17AC" w:rsidTr="004E5EE1">
        <w:trPr>
          <w:trHeight w:val="1481"/>
        </w:trPr>
        <w:tc>
          <w:tcPr>
            <w:tcW w:w="1980" w:type="dxa"/>
            <w:vMerge w:val="restart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Środki ochrony nabywców</w:t>
            </w:r>
          </w:p>
        </w:tc>
        <w:tc>
          <w:tcPr>
            <w:tcW w:w="2551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Otwarty mieszkaniowy rachunek powierniczy*</w:t>
            </w:r>
          </w:p>
        </w:tc>
        <w:tc>
          <w:tcPr>
            <w:tcW w:w="5117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trike/>
                <w:sz w:val="20"/>
                <w:szCs w:val="20"/>
              </w:rPr>
              <w:t>Zamknięty mieszkaniowy rachunek powierniczy*</w:t>
            </w:r>
          </w:p>
        </w:tc>
      </w:tr>
      <w:tr w:rsidR="00BD28E1" w:rsidRPr="00EF17AC" w:rsidTr="004E5EE1">
        <w:tc>
          <w:tcPr>
            <w:tcW w:w="1980" w:type="dxa"/>
            <w:vMerge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Wysokość stawki procentowej, według której jest obliczana kwota składki na Deweloperski Fundusz Gwarancyjny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8"/>
              <w:t>6)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Główne zasady funkcjonowania wybranego rodzaju zabezpieczenia środków nabywcy</w:t>
            </w:r>
          </w:p>
        </w:tc>
        <w:tc>
          <w:tcPr>
            <w:tcW w:w="7668" w:type="dxa"/>
            <w:gridSpan w:val="2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Na dzień dzisiejszy nie jest otwarty dla inwestycji rachunek powierniczy. Deweloper zobowiązuje się podpisać umowę na prowadzenie takowego, do dnia podpisania Umowy Deweloperskiej.</w:t>
            </w:r>
          </w:p>
        </w:tc>
      </w:tr>
      <w:tr w:rsidR="00BD28E1" w:rsidRPr="00EF17AC" w:rsidTr="004E5EE1">
        <w:trPr>
          <w:trHeight w:val="293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Nazwa instytucji zapewniającej bezpieczeństwo środków nabywcy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Instytucja, która zapewnia do od lat rachunki dla Dewelopera i w której zostanie otwarty rachunek dla lokalu którego dotyczy niniejszy prospekt: Bank Spółdzielczy w Oleśnicy, ulica Wrocławska 36, Oddział Dobroszyce</w:t>
            </w:r>
          </w:p>
        </w:tc>
      </w:tr>
      <w:tr w:rsidR="00BD28E1" w:rsidRPr="00EF17AC" w:rsidTr="004E5EE1">
        <w:trPr>
          <w:trHeight w:val="488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Harmonogram przedsięwzięcia deweloperskiego lub zadania inwestycyjnego</w:t>
            </w:r>
          </w:p>
        </w:tc>
        <w:tc>
          <w:tcPr>
            <w:tcW w:w="7668" w:type="dxa"/>
            <w:gridSpan w:val="2"/>
            <w:shd w:val="clear" w:color="auto" w:fill="auto"/>
          </w:tcPr>
          <w:tbl>
            <w:tblPr>
              <w:tblW w:w="7560" w:type="dxa"/>
              <w:tblLayout w:type="fixed"/>
              <w:tblLook w:val="04A0" w:firstRow="1" w:lastRow="0" w:firstColumn="1" w:lastColumn="0" w:noHBand="0" w:noVBand="1"/>
            </w:tblPr>
            <w:tblGrid>
              <w:gridCol w:w="7198"/>
              <w:gridCol w:w="362"/>
            </w:tblGrid>
            <w:tr w:rsidR="00BD28E1" w:rsidRPr="00EF17AC" w:rsidTr="004E5EE1">
              <w:tc>
                <w:tcPr>
                  <w:tcW w:w="7198" w:type="dxa"/>
                  <w:shd w:val="clear" w:color="auto" w:fill="auto"/>
                </w:tcPr>
                <w:p w:rsidR="00BD28E1" w:rsidRPr="00EF17AC" w:rsidRDefault="00BD28E1" w:rsidP="004E5EE1">
                  <w:pPr>
                    <w:rPr>
                      <w:rFonts w:ascii="Arial" w:hAnsi="Arial" w:cs="Arial"/>
                    </w:rPr>
                  </w:pPr>
                  <w:r w:rsidRPr="00EF17AC">
                    <w:rPr>
                      <w:rFonts w:ascii="Arial" w:hAnsi="Arial" w:cs="Arial"/>
                    </w:rPr>
                    <w:t>Etapy realizacji przedsięwzięcia deweloperskiego i procentowy, szacunkowy podział kosztów poszczególnych etapów w całkowitych kosztach przedsięwzięcia deweloperskiego:</w:t>
                  </w:r>
                </w:p>
                <w:tbl>
                  <w:tblPr>
                    <w:tblW w:w="73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4"/>
                    <w:gridCol w:w="6797"/>
                  </w:tblGrid>
                  <w:tr w:rsidR="00BD28E1" w:rsidRPr="00EF17AC" w:rsidTr="004E5EE1"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</w:pP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/>
                    </w:tc>
                  </w:tr>
                  <w:tr w:rsidR="00BD28E1" w:rsidRPr="00EF17AC" w:rsidTr="004E5EE1"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1.</w:t>
                        </w: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Grunt - nabycie prawa własności, dokumentacja projektowa, pozwolenie na budowę – 23,00%,</w:t>
                        </w:r>
                      </w:p>
                    </w:tc>
                  </w:tr>
                  <w:tr w:rsidR="00BD28E1" w:rsidRPr="00EF17AC" w:rsidTr="004E5EE1"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2.</w:t>
                        </w: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Roboty przygotowawcze gruntu pod inwestycję,  ścianka berlińska,, wykopy, ławy i płyta fundamentowa – 10,50%,</w:t>
                        </w:r>
                      </w:p>
                    </w:tc>
                  </w:tr>
                  <w:tr w:rsidR="00BD28E1" w:rsidRPr="00EF17AC" w:rsidTr="004E5EE1"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3.</w:t>
                        </w: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Stan „zerowy” stanu surowego – 11,50%,</w:t>
                        </w:r>
                      </w:p>
                    </w:tc>
                  </w:tr>
                  <w:tr w:rsidR="00BD28E1" w:rsidRPr="00EF17AC" w:rsidTr="004E5EE1"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4.</w:t>
                        </w: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Stan surowy 50% – 11,50%,</w:t>
                        </w:r>
                      </w:p>
                    </w:tc>
                  </w:tr>
                  <w:tr w:rsidR="00BD28E1" w:rsidRPr="00EF17AC" w:rsidTr="004E5EE1">
                    <w:trPr>
                      <w:trHeight w:val="269"/>
                    </w:trPr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lastRenderedPageBreak/>
                          <w:t>5.</w:t>
                        </w: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ind w:right="34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Stan surowy 50% ze stropodachem – 12,50%,</w:t>
                        </w:r>
                      </w:p>
                    </w:tc>
                  </w:tr>
                  <w:tr w:rsidR="00BD28E1" w:rsidRPr="00EF17AC" w:rsidTr="004E5EE1"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6.</w:t>
                        </w: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ind w:right="34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Sieci sanitarne wewnętrzne, przyłącza: wodociągowe, sanitarne i deszczowe, stolarka okienna PCW, ślusarka aluminiowa 70%, instalacje sanitarne wewnętrzne 60% bez grzejników i liczników, instalacje elektryczne i antenowe 60% bez osprzętu elektrycznego i antenowego - 11,00%,</w:t>
                        </w:r>
                      </w:p>
                    </w:tc>
                  </w:tr>
                  <w:tr w:rsidR="00BD28E1" w:rsidRPr="00EF17AC" w:rsidTr="004E5EE1"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7.</w:t>
                        </w: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 xml:space="preserve">Instalacje sanitarne wewnętrzne 20% bez grzejników i liczników, instalacje elektryczne i antenowe 20% bez osprzętu elektrycznego i </w:t>
                        </w:r>
                        <w:proofErr w:type="spellStart"/>
                        <w:r w:rsidRPr="00EF17AC">
                          <w:rPr>
                            <w:rFonts w:ascii="Arial" w:hAnsi="Arial" w:cs="Arial"/>
                          </w:rPr>
                          <w:t>i</w:t>
                        </w:r>
                        <w:proofErr w:type="spellEnd"/>
                        <w:r w:rsidRPr="00EF17AC">
                          <w:rPr>
                            <w:rFonts w:ascii="Arial" w:hAnsi="Arial" w:cs="Arial"/>
                          </w:rPr>
                          <w:t xml:space="preserve"> antenowego, roboty wewnętrzne wykończeniowe 80%, elewacja 90%, windy, ślusarka stalowa 80%, wentylacja mechaniczna 80% </w:t>
                        </w:r>
                        <w:r w:rsidRPr="00EF17AC">
                          <w:rPr>
                            <w:rFonts w:ascii="Arial" w:hAnsi="Arial" w:cs="Arial"/>
                          </w:rPr>
                          <w:br/>
                          <w:t>- 10,00%,</w:t>
                        </w:r>
                      </w:p>
                    </w:tc>
                  </w:tr>
                  <w:tr w:rsidR="00BD28E1" w:rsidRPr="00EF17AC" w:rsidTr="004E5EE1">
                    <w:tc>
                      <w:tcPr>
                        <w:tcW w:w="534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>8.</w:t>
                        </w:r>
                      </w:p>
                    </w:tc>
                    <w:tc>
                      <w:tcPr>
                        <w:tcW w:w="6797" w:type="dxa"/>
                        <w:shd w:val="clear" w:color="auto" w:fill="auto"/>
                      </w:tcPr>
                      <w:p w:rsidR="00BD28E1" w:rsidRPr="00EF17AC" w:rsidRDefault="00BD28E1" w:rsidP="004E5EE1">
                        <w:pPr>
                          <w:rPr>
                            <w:rFonts w:ascii="Arial" w:hAnsi="Arial" w:cs="Arial"/>
                          </w:rPr>
                        </w:pPr>
                        <w:r w:rsidRPr="00EF17AC">
                          <w:rPr>
                            <w:rFonts w:ascii="Arial" w:hAnsi="Arial" w:cs="Arial"/>
                          </w:rPr>
                          <w:t xml:space="preserve">Roboty wewnętrzne wykończeniowe 20%, instalacje sanitarne wewnętrzne 20%, grzejniki i liczniki, wentylacja mechaniczna 20%, węzeł cieplny, instalacje elektryczne wewnętrzne 20%, </w:t>
                        </w:r>
                        <w:r w:rsidRPr="00EF17AC">
                          <w:rPr>
                            <w:rFonts w:ascii="Arial" w:hAnsi="Arial" w:cs="Arial"/>
                          </w:rPr>
                          <w:br/>
                          <w:t>osprzęt elektryczny i antenowy, ślusarka stalowa 20%, elewacja 10% , roboty zewnętrzne, zjazdy z ul. Jeździeckiej, ślusarka aluminiowa 30%, dokumentacja projektowa uzupełniająca, projekty zamienne, pozwolenie na użytkowanie budynku – 10,00%.</w:t>
                        </w:r>
                      </w:p>
                    </w:tc>
                  </w:tr>
                </w:tbl>
                <w:p w:rsidR="00BD28E1" w:rsidRPr="00EF17AC" w:rsidRDefault="00BD28E1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shd w:val="clear" w:color="auto" w:fill="auto"/>
                </w:tcPr>
                <w:p w:rsidR="00BD28E1" w:rsidRPr="00EF17AC" w:rsidRDefault="00BD28E1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8E1" w:rsidRPr="00EF17AC" w:rsidTr="004E5EE1">
              <w:tc>
                <w:tcPr>
                  <w:tcW w:w="7198" w:type="dxa"/>
                  <w:shd w:val="clear" w:color="auto" w:fill="auto"/>
                </w:tcPr>
                <w:p w:rsidR="00BD28E1" w:rsidRPr="00EF17AC" w:rsidRDefault="00BD28E1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shd w:val="clear" w:color="auto" w:fill="auto"/>
                </w:tcPr>
                <w:p w:rsidR="00BD28E1" w:rsidRPr="00EF17AC" w:rsidRDefault="00BD28E1" w:rsidP="004E5E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8E1" w:rsidRPr="00EF17AC" w:rsidTr="004E5EE1">
              <w:tc>
                <w:tcPr>
                  <w:tcW w:w="7198" w:type="dxa"/>
                  <w:shd w:val="clear" w:color="auto" w:fill="auto"/>
                </w:tcPr>
                <w:p w:rsidR="00BD28E1" w:rsidRPr="00EF17AC" w:rsidRDefault="00BD28E1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shd w:val="clear" w:color="auto" w:fill="auto"/>
                </w:tcPr>
                <w:p w:rsidR="00BD28E1" w:rsidRPr="00EF17AC" w:rsidRDefault="00BD28E1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8E1" w:rsidRPr="00EF17AC" w:rsidTr="004E5EE1">
              <w:tc>
                <w:tcPr>
                  <w:tcW w:w="7198" w:type="dxa"/>
                  <w:shd w:val="clear" w:color="auto" w:fill="auto"/>
                </w:tcPr>
                <w:p w:rsidR="00BD28E1" w:rsidRPr="00EF17AC" w:rsidRDefault="00BD28E1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shd w:val="clear" w:color="auto" w:fill="auto"/>
                </w:tcPr>
                <w:p w:rsidR="00BD28E1" w:rsidRPr="00EF17AC" w:rsidRDefault="00BD28E1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8E1" w:rsidRPr="00EF17AC" w:rsidTr="004E5EE1">
              <w:trPr>
                <w:trHeight w:val="269"/>
              </w:trPr>
              <w:tc>
                <w:tcPr>
                  <w:tcW w:w="7198" w:type="dxa"/>
                  <w:shd w:val="clear" w:color="auto" w:fill="auto"/>
                </w:tcPr>
                <w:p w:rsidR="00BD28E1" w:rsidRPr="00EF17AC" w:rsidRDefault="00BD28E1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shd w:val="clear" w:color="auto" w:fill="auto"/>
                </w:tcPr>
                <w:p w:rsidR="00BD28E1" w:rsidRPr="00EF17AC" w:rsidRDefault="00BD28E1" w:rsidP="004E5EE1">
                  <w:pPr>
                    <w:ind w:right="3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8E1" w:rsidRPr="00EF17AC" w:rsidTr="004E5EE1">
              <w:tc>
                <w:tcPr>
                  <w:tcW w:w="7198" w:type="dxa"/>
                  <w:shd w:val="clear" w:color="auto" w:fill="auto"/>
                </w:tcPr>
                <w:p w:rsidR="00BD28E1" w:rsidRPr="00EF17AC" w:rsidRDefault="00BD28E1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shd w:val="clear" w:color="auto" w:fill="auto"/>
                </w:tcPr>
                <w:p w:rsidR="00BD28E1" w:rsidRPr="00EF17AC" w:rsidRDefault="00BD28E1" w:rsidP="004E5EE1">
                  <w:pPr>
                    <w:ind w:right="3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8E1" w:rsidRPr="00EF17AC" w:rsidTr="004E5EE1">
              <w:tc>
                <w:tcPr>
                  <w:tcW w:w="7198" w:type="dxa"/>
                  <w:shd w:val="clear" w:color="auto" w:fill="auto"/>
                </w:tcPr>
                <w:p w:rsidR="00BD28E1" w:rsidRPr="00EF17AC" w:rsidRDefault="00BD28E1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shd w:val="clear" w:color="auto" w:fill="auto"/>
                </w:tcPr>
                <w:p w:rsidR="00BD28E1" w:rsidRPr="00EF17AC" w:rsidRDefault="00BD28E1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8E1" w:rsidRPr="00EF17AC" w:rsidTr="004E5EE1">
              <w:tc>
                <w:tcPr>
                  <w:tcW w:w="7198" w:type="dxa"/>
                  <w:shd w:val="clear" w:color="auto" w:fill="auto"/>
                </w:tcPr>
                <w:p w:rsidR="00BD28E1" w:rsidRPr="00EF17AC" w:rsidRDefault="00BD28E1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shd w:val="clear" w:color="auto" w:fill="auto"/>
                </w:tcPr>
                <w:p w:rsidR="00BD28E1" w:rsidRPr="00EF17AC" w:rsidRDefault="00BD28E1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292"/>
        </w:trPr>
        <w:tc>
          <w:tcPr>
            <w:tcW w:w="1980" w:type="dxa"/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Dopuszczenie waloryzacji ceny oraz określenie zasad waloryzacji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Brak waloryzacji</w:t>
            </w:r>
          </w:p>
        </w:tc>
      </w:tr>
      <w:tr w:rsidR="00BD28E1" w:rsidRPr="00EF17AC" w:rsidTr="004E5EE1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t>WARUNKI ODSTĄPIENIA OD UMOWY DEWELOPERSKIEJ LUB UMOWY, O KTÓREJ MOWA W ART. 2 UST. 1 PKT 2, 3 LUB 5 USTAWY Z DNIA 20.05.2021 O OCHRONIE PRAW NABYWCY LOKALU MIESZKALNEGO LUB DOMU JEDNORODZINNEGO ORAZ O DEWELOPERSKIM FUNDUSZU GWARANCYJNYM (Dz. U. 2021 poz. 1177)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1512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Należy opisać, na jakich warunkach można odstąpić od umowy deweloperskiej lub jednej z umów, o których mowa w art. 2 ust. 1 pkt 2, 3 lub 5 ustawy z dnia … o ochronie praw nabywcy lokalu 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mieszkalnego lub domu jednorodzinnego oraz o Deweloperskim Funduszu Gwarancyjnym</w:t>
            </w:r>
          </w:p>
        </w:tc>
        <w:tc>
          <w:tcPr>
            <w:tcW w:w="7668" w:type="dxa"/>
            <w:gridSpan w:val="2"/>
          </w:tcPr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lastRenderedPageBreak/>
              <w:t xml:space="preserve">Art.43.[Odstąpienie od umowy deweloperskiej] 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 xml:space="preserve">1. Nabywca ma prawo odstąpić od umowy deweloperskiej albo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umowy,o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której mowa w art. 2 ust. 1 pkt 2, 3 lub 5: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1) jeżeli umowa deweloperska albo umowa, o której mowa w art. 2 ust. 1 pkt 2, 3 lub 5, nie zawiera odpowiednio elementów, o których mowa w art. 35, albo elementów, o których mowa w art. 36;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 xml:space="preserve">2) jeżeli informacje zawarte w umowie deweloperskiej albo umowie, o której mowa w art. 2 ust. 1 pkt 2, 3 lub 5, nie są zgodne z informacjami zawartymi w prospekcie </w:t>
            </w:r>
            <w:r w:rsidRPr="00EF17AC">
              <w:rPr>
                <w:rFonts w:ascii="Arial" w:hAnsi="Arial" w:cs="Arial"/>
                <w:sz w:val="20"/>
                <w:szCs w:val="20"/>
              </w:rPr>
              <w:lastRenderedPageBreak/>
              <w:t xml:space="preserve">informacyjnym lub jego załącznikach, z wyjątkiem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zmian,o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których mowa w art. 35 ust. 2; 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3) jeżeli deweloper nie doręczył zgodnie z art. 21 lub art. 22 prospektu informacyjnego wraz z załącznikami lub informacji o zmianie danych lub informacji zawartych w prospekcie informacyjnym lub jego załącznikach;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4) jeżeli dane lub informacje zawarte w prospekcie informacyjnym lub jego załącznikach, na podstawie których zawarto umowę deweloperską albo umowę, o której mowa w art. 2 ust. 1 pkt 2, 3 lub 5, są niezgodne ze stanem faktycznym lub prawnym w dniu zawarcia umowy;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5) jeżeli prospekt informacyjny, na podstawie którego zawarto umowę deweloperską albo umowę, o której mowa w art. 2 ust. 1 pkt 2, 3 lub 5, nie zawiera danych lub informacji określonych we wzorze prospektu informacyjnego;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 xml:space="preserve">6) w przypadku </w:t>
            </w:r>
            <w:proofErr w:type="spellStart"/>
            <w:r w:rsidRPr="00EF17AC">
              <w:rPr>
                <w:rFonts w:ascii="Arial" w:hAnsi="Arial" w:cs="Arial"/>
                <w:sz w:val="20"/>
                <w:szCs w:val="20"/>
              </w:rPr>
              <w:t>nieprzeniesienia</w:t>
            </w:r>
            <w:proofErr w:type="spellEnd"/>
            <w:r w:rsidRPr="00EF17AC">
              <w:rPr>
                <w:rFonts w:ascii="Arial" w:hAnsi="Arial" w:cs="Arial"/>
                <w:sz w:val="20"/>
                <w:szCs w:val="20"/>
              </w:rPr>
              <w:t xml:space="preserve"> na nabywcę praw wynikających z umowy deweloperskiej albo umowy, o której mowa w art. 2 ust. 1 pkt 2, 3 lub 5, w terminie wynikającym z tych umów;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7) w przypadku gdy deweloper nie zawrze umowy mieszkaniowego rachunku powierniczego z innym bankiem lub inną kasą w trybie i terminie, o których mowa w art. 10 ust. 1;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8) w przypadku gdy deweloper nie posiada zgody wierzyciela hipotecznego lub zobowiązania do jej udzielenia, o których mowa w art. 25 ust. 1 pkt 1 lub 2;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9) w przypadku niewykonania przez dewelopera obowiązku, o którym mowa w art. 12 ust. 2, w terminie określonym w tym przepisie;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10) w przypadku nieusunięcia przez dewelopera wady istotnej lokalu mieszkalnego albo domu jednorodzinnego na zasadach określonych w art. 41 ust. 11;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11) w przypadku stwierdzenia przez rzeczoznawcę istnienia wady istotnej, o którym mowa w art. 41 ust. 15;</w:t>
            </w:r>
          </w:p>
          <w:p w:rsidR="00BD28E1" w:rsidRPr="00EF17AC" w:rsidRDefault="00BD28E1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F17AC">
              <w:rPr>
                <w:rFonts w:ascii="Arial" w:hAnsi="Arial" w:cs="Arial"/>
                <w:sz w:val="20"/>
                <w:szCs w:val="20"/>
              </w:rPr>
              <w:t>12) jeżeli syndyk zażądał wykonania umowy na podstawie art. 98 ustawy z dnia 28 lutego 2003 r. – Prawo upadłościowe.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8E1" w:rsidRPr="00EF17AC" w:rsidTr="004E5EE1">
        <w:trPr>
          <w:trHeight w:val="510"/>
        </w:trPr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INNE INFORMACJE </w:t>
            </w:r>
          </w:p>
        </w:tc>
      </w:tr>
      <w:tr w:rsidR="00BD28E1" w:rsidRPr="00EF17AC" w:rsidTr="004E5EE1">
        <w:trPr>
          <w:trHeight w:val="1512"/>
        </w:trPr>
        <w:tc>
          <w:tcPr>
            <w:tcW w:w="9648" w:type="dxa"/>
            <w:gridSpan w:val="3"/>
            <w:tcBorders>
              <w:bottom w:val="nil"/>
            </w:tcBorders>
            <w:shd w:val="clear" w:color="auto" w:fill="F3F3F3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I. Informacja o: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1)</w:t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zgodzie 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zgodzie banku lub innego wierzyciela hipotecznego na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 do jej udzielenia, jeżeli takie obciążenie istnieje; 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w przypadku umów, o których mowa w art. 2 ust. 2 ustawy z dnia … o ochronie praw nabywcy lokalu mieszkalnego lub domu jednorodzinnego oraz o Deweloperskim Funduszu Gwarancyjnym, o 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zgodzie banku lub innego wierzyciela hipotecznego na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 do udzielenia takiej zgody, jeżeli takie obciążenie istnieje, albo zgodzie banku lub innego wierzyciela hipotecznego na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bezobciążeniowe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</w:tc>
      </w:tr>
      <w:tr w:rsidR="00BD28E1" w:rsidRPr="00EF17AC" w:rsidTr="004E5EE1">
        <w:trPr>
          <w:trHeight w:val="1512"/>
        </w:trPr>
        <w:tc>
          <w:tcPr>
            <w:tcW w:w="964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II. Informacja o możliwości zapoznania się w lokalu przedsiębiorstwa przez osobę zainteresowaną zawarciem umowy odpowiednio do zakresu umowy z: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aktualnym stanem księgi wieczystej;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 lub wydrukiem ze strony internetowej tej ewidencji;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kopią decyzji o pozwoleniu na budowę;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sprawozdaniem finansowym dewelopera za ostatnie dwa lata, a w przypadku realizacji inwestycji przez spółkę celową – sprawozdaniem spółki dominującej oraz spółki celowej;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projektem budowlanym;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kopią decyzji o pozwoleniu na użytkowanie budynku;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zaświadczeniem o samodzielności lokalu;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aktem ustanowienia odrębnej własności lokalu;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dokumentem potwierdzającym: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1163" w:hanging="42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zgodę 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zobowiązaniem do jej udzielenia, jeżeli takie obciążenie istnieje, albo zgodą banku lub innego wierzyciela hipotecznego na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zobowiązaniem do jej udzielenia, jeżeli takie obciążenie istnieje, 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1163" w:hanging="42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w przypadku umów, o których mowa w art. 2 ust. 2 z dnia … o ochronie praw nabywcy lokalu mieszkalnego lub domu jednorodzinnego oraz o Deweloperskim Funduszu Gwarancyjnym, </w:t>
            </w:r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zgodą banku lub innego wierzyciela hipotecznego na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zobowiązaniem do udzielenia takiej zgody, jeżeli takie obciążenie istnieje, albo zgodą banku lub innego wierzyciela hipotecznego na </w:t>
            </w:r>
            <w:proofErr w:type="spellStart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EF1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zobowiązaniem do udzielenia takiej zgody, jeżeli takie obciążenie istnieje.</w:t>
            </w:r>
          </w:p>
        </w:tc>
      </w:tr>
      <w:tr w:rsidR="00BD28E1" w:rsidRPr="00EF17AC" w:rsidTr="004E5EE1">
        <w:trPr>
          <w:trHeight w:val="1512"/>
        </w:trPr>
        <w:tc>
          <w:tcPr>
            <w:tcW w:w="9648" w:type="dxa"/>
            <w:gridSpan w:val="3"/>
            <w:tcBorders>
              <w:top w:val="nil"/>
            </w:tcBorders>
            <w:shd w:val="clear" w:color="auto" w:fill="FFFFFF"/>
          </w:tcPr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III. Informacja: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Nie dotyczy.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>Dalsze informacje na temat systemu gwarantowania depozytów można uzyskać na stronie internetowej Bankowego Funduszu Gwarancyjnego: https://www.bfg.pl/.</w:t>
            </w:r>
          </w:p>
          <w:p w:rsidR="00BD28E1" w:rsidRPr="00EF17AC" w:rsidRDefault="00BD28E1" w:rsidP="004E5EE1">
            <w:pPr>
              <w:widowControl w:val="0"/>
              <w:numPr>
                <w:ilvl w:val="0"/>
                <w:numId w:val="2"/>
              </w:numPr>
              <w:tabs>
                <w:tab w:val="num" w:pos="314"/>
                <w:tab w:val="left" w:pos="728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3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sz w:val="20"/>
                <w:szCs w:val="20"/>
              </w:rPr>
              <w:t xml:space="preserve">Informacja zamieszczana w przypadku </w:t>
            </w:r>
            <w:r w:rsidRPr="00EF17AC">
              <w:rPr>
                <w:rFonts w:ascii="Arial" w:eastAsia="Times New Roman" w:hAnsi="Arial" w:cs="Arial"/>
                <w:bCs/>
                <w:sz w:val="20"/>
                <w:szCs w:val="20"/>
              </w:rPr>
              <w:t>zawarcia umowy mieszkaniowego rachunku powierniczego z oddziałem instytucji kredytowej, o której mowa w art. 4 ust. 1 pkt 18 ustawy z dnia 29 sierpnia 1997 r. – Prawo bankowe (Dz. U. z 2020 r. poz. 1896, 2320 i 2419).</w:t>
            </w:r>
          </w:p>
          <w:p w:rsidR="00BD28E1" w:rsidRPr="00EF17AC" w:rsidRDefault="00BD28E1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17AC">
              <w:rPr>
                <w:rFonts w:ascii="Arial" w:eastAsia="Times New Roman" w:hAnsi="Arial" w:cs="Arial"/>
                <w:bCs/>
                <w:sz w:val="20"/>
                <w:szCs w:val="20"/>
              </w:rPr>
              <w:t>Oddział instytucji kredytowej, w rozumieniu art. 4 ust. 1 pkt 18 ustawy z dnia 29 sierpnia 1997 r. – Prawo bankowe jest objęty systemem gwarantowania państwa macierzystego, co oznacza, że nie mają do niego zastosowania przepisy ustawy z dnia 10 czerwca 2016 r. o Bankowym Funduszu Gwarancyjnym systemie gwarantowania depozytów oraz przymusowej restrukturyzacji.</w:t>
            </w:r>
          </w:p>
        </w:tc>
      </w:tr>
    </w:tbl>
    <w:p w:rsidR="00BD28E1" w:rsidRPr="00EF17AC" w:rsidRDefault="00BD28E1" w:rsidP="00BD28E1">
      <w:pPr>
        <w:spacing w:beforeLines="60" w:before="144" w:afterLines="60" w:after="144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6828CF" w:rsidRDefault="006828CF"/>
    <w:sectPr w:rsidR="0068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3D" w:rsidRDefault="003D403D" w:rsidP="00BD28E1">
      <w:pPr>
        <w:spacing w:after="0" w:line="240" w:lineRule="auto"/>
      </w:pPr>
      <w:r>
        <w:separator/>
      </w:r>
    </w:p>
  </w:endnote>
  <w:endnote w:type="continuationSeparator" w:id="0">
    <w:p w:rsidR="003D403D" w:rsidRDefault="003D403D" w:rsidP="00BD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3D" w:rsidRDefault="003D403D" w:rsidP="00BD28E1">
      <w:pPr>
        <w:spacing w:after="0" w:line="240" w:lineRule="auto"/>
      </w:pPr>
      <w:r>
        <w:separator/>
      </w:r>
    </w:p>
  </w:footnote>
  <w:footnote w:type="continuationSeparator" w:id="0">
    <w:p w:rsidR="003D403D" w:rsidRDefault="003D403D" w:rsidP="00BD28E1">
      <w:pPr>
        <w:spacing w:after="0" w:line="240" w:lineRule="auto"/>
      </w:pPr>
      <w:r>
        <w:continuationSeparator/>
      </w:r>
    </w:p>
  </w:footnote>
  <w:footnote w:id="1">
    <w:p w:rsidR="00BD28E1" w:rsidRPr="009017DC" w:rsidRDefault="00BD28E1" w:rsidP="00BD28E1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D376F">
        <w:rPr>
          <w:rStyle w:val="Odwoanieprzypisudolnego"/>
          <w:rFonts w:ascii="Times New Roman" w:hAnsi="Times New Roman"/>
          <w:sz w:val="18"/>
          <w:szCs w:val="18"/>
        </w:rPr>
        <w:t>1)</w:t>
      </w:r>
      <w:r>
        <w:rPr>
          <w:rFonts w:ascii="Times New Roman" w:hAnsi="Times New Roman"/>
          <w:sz w:val="18"/>
          <w:szCs w:val="18"/>
        </w:rPr>
        <w:tab/>
      </w:r>
      <w:r w:rsidRPr="00BD376F">
        <w:rPr>
          <w:rFonts w:ascii="Times New Roman" w:hAnsi="Times New Roman"/>
          <w:sz w:val="18"/>
          <w:szCs w:val="18"/>
        </w:rPr>
        <w:t>J</w:t>
      </w:r>
      <w:r w:rsidRPr="009017DC">
        <w:rPr>
          <w:rFonts w:ascii="Times New Roman" w:hAnsi="Times New Roman"/>
          <w:sz w:val="18"/>
          <w:szCs w:val="18"/>
        </w:rPr>
        <w:t>eżeli działka nie posiada adresu, należy opisowo określić jej położenie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:rsidR="00BD28E1" w:rsidRPr="00143535" w:rsidRDefault="00BD28E1" w:rsidP="00BD28E1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imię i nazwisko albo firma właściciela lub użytkownika wieczystego oraz istniejące obciążenia na nieruchomości.</w:t>
      </w:r>
    </w:p>
  </w:footnote>
  <w:footnote w:id="3">
    <w:p w:rsidR="00BD28E1" w:rsidRPr="00143535" w:rsidRDefault="00BD28E1" w:rsidP="00BD28E1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3)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obiekty generujące uciążliwości zapachowe, hałasowe, świetlne.</w:t>
      </w:r>
    </w:p>
  </w:footnote>
  <w:footnote w:id="4">
    <w:p w:rsidR="00BD28E1" w:rsidRPr="00143535" w:rsidRDefault="00BD28E1" w:rsidP="00BD28E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Akty prawne (rozporządzenia, zarządzenia, uchwały) w sprawie:</w:t>
      </w:r>
    </w:p>
    <w:p w:rsidR="00BD28E1" w:rsidRPr="00143535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dokonania rezerwacji obszaru inwestycji (CPK),</w:t>
      </w:r>
    </w:p>
    <w:p w:rsidR="00BD28E1" w:rsidRPr="00143535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lokalizacji inwestycji mieszkaniowej lub inwestycji towarzyszącej,</w:t>
      </w:r>
    </w:p>
    <w:p w:rsidR="00BD28E1" w:rsidRPr="00143535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:rsidR="00BD28E1" w:rsidRPr="00143535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strefy ochronnej terenu ochrony bezpośredniej i terenu ochrony pośredniej ujęcia wody,</w:t>
      </w:r>
    </w:p>
    <w:p w:rsidR="00BD28E1" w:rsidRPr="00143535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wyznaczenia obszarów cichych w aglomeracji lub obszarów cichych poza aglomeracją,</w:t>
      </w:r>
    </w:p>
    <w:p w:rsidR="00BD28E1" w:rsidRPr="00143535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utworzenia obszaru ograniczonego użytkowania,</w:t>
      </w:r>
    </w:p>
    <w:p w:rsidR="00BD28E1" w:rsidRPr="00143535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uznania zabytku za pomnik historii,</w:t>
      </w:r>
    </w:p>
    <w:p w:rsidR="00BD28E1" w:rsidRPr="00143535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określenia granic obszaru Pomnika Zagłady i jego strefy ochronnej, utworzenia parku kulturowego,</w:t>
      </w:r>
    </w:p>
    <w:p w:rsidR="00BD28E1" w:rsidRPr="00A80C58" w:rsidRDefault="00BD28E1" w:rsidP="00BD28E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A80C58">
        <w:rPr>
          <w:rFonts w:cs="Times New Roman"/>
          <w:sz w:val="18"/>
          <w:szCs w:val="18"/>
        </w:rPr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:rsidR="00BD28E1" w:rsidRPr="00077623" w:rsidRDefault="00BD28E1" w:rsidP="00BD28E1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t>*</w:t>
      </w:r>
      <w:r>
        <w:t xml:space="preserve"> </w:t>
      </w:r>
      <w:r w:rsidRPr="00077623">
        <w:rPr>
          <w:rFonts w:ascii="Times New Roman" w:hAnsi="Times New Roman"/>
          <w:sz w:val="18"/>
          <w:szCs w:val="18"/>
        </w:rPr>
        <w:t>W przypadku braku miejscowego planu zagospodarowania przestrzennego umieszcza się informację „Brak planu”</w:t>
      </w:r>
      <w:r>
        <w:rPr>
          <w:rFonts w:ascii="Times New Roman" w:hAnsi="Times New Roman"/>
          <w:sz w:val="18"/>
          <w:szCs w:val="18"/>
        </w:rPr>
        <w:t>.</w:t>
      </w:r>
      <w:r w:rsidRPr="00077623">
        <w:rPr>
          <w:rFonts w:ascii="Times New Roman" w:hAnsi="Times New Roman"/>
          <w:sz w:val="18"/>
          <w:szCs w:val="18"/>
        </w:rPr>
        <w:t xml:space="preserve"> </w:t>
      </w:r>
    </w:p>
  </w:footnote>
  <w:footnote w:id="6">
    <w:p w:rsidR="00BD28E1" w:rsidRPr="008B0E61" w:rsidRDefault="00BD28E1" w:rsidP="00BD28E1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5)</w:t>
      </w:r>
      <w:r>
        <w:rPr>
          <w:rFonts w:ascii="Times New Roman" w:hAnsi="Times New Roman"/>
          <w:sz w:val="18"/>
          <w:szCs w:val="18"/>
        </w:rPr>
        <w:tab/>
      </w:r>
      <w:r w:rsidRPr="008B0E61">
        <w:rPr>
          <w:rFonts w:ascii="Times New Roman" w:hAnsi="Times New Roman"/>
          <w:sz w:val="18"/>
          <w:szCs w:val="18"/>
        </w:rPr>
        <w:t>Wskazane inwestycje dotyczą w szczególności budowy lub rozbudowy dróg, budowy linii szynowych oraz przewidzianych korytarzy powietrznych, inwestycji komunalnych</w:t>
      </w:r>
      <w:r>
        <w:rPr>
          <w:rFonts w:ascii="Times New Roman" w:hAnsi="Times New Roman"/>
          <w:sz w:val="18"/>
          <w:szCs w:val="18"/>
        </w:rPr>
        <w:t>,</w:t>
      </w:r>
      <w:r w:rsidRPr="008B0E61">
        <w:rPr>
          <w:rFonts w:ascii="Times New Roman" w:hAnsi="Times New Roman"/>
          <w:sz w:val="18"/>
          <w:szCs w:val="18"/>
        </w:rPr>
        <w:t xml:space="preserve"> takich jak: oczyszczalnie ścieków, spalarnie śmieci, wysypiska, cmentarze.</w:t>
      </w:r>
    </w:p>
  </w:footnote>
  <w:footnote w:id="7">
    <w:p w:rsidR="00BD28E1" w:rsidRPr="008B0E61" w:rsidRDefault="00BD28E1" w:rsidP="00BD28E1">
      <w:pPr>
        <w:pStyle w:val="Tekstprzypisudolnego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*</w:t>
      </w:r>
      <w:r w:rsidRPr="008B0E61">
        <w:rPr>
          <w:rFonts w:ascii="Times New Roman" w:hAnsi="Times New Roman"/>
          <w:sz w:val="18"/>
          <w:szCs w:val="18"/>
        </w:rPr>
        <w:t xml:space="preserve"> Niepotrzebne skreślić</w:t>
      </w:r>
      <w:r>
        <w:rPr>
          <w:rFonts w:ascii="Times New Roman" w:hAnsi="Times New Roman"/>
          <w:sz w:val="18"/>
          <w:szCs w:val="18"/>
        </w:rPr>
        <w:t>.</w:t>
      </w:r>
      <w:r w:rsidRPr="008B0E61">
        <w:rPr>
          <w:rFonts w:ascii="Times New Roman" w:hAnsi="Times New Roman"/>
          <w:sz w:val="18"/>
          <w:szCs w:val="18"/>
        </w:rPr>
        <w:t xml:space="preserve"> </w:t>
      </w:r>
    </w:p>
  </w:footnote>
  <w:footnote w:id="8">
    <w:p w:rsidR="00BD28E1" w:rsidRPr="008B0E61" w:rsidRDefault="00BD28E1" w:rsidP="00BD28E1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6)</w:t>
      </w:r>
      <w:r>
        <w:rPr>
          <w:rFonts w:ascii="Times New Roman" w:hAnsi="Times New Roman"/>
          <w:sz w:val="18"/>
          <w:szCs w:val="18"/>
        </w:rPr>
        <w:tab/>
        <w:t xml:space="preserve">Zgodnie z art. 48 ust. 6 </w:t>
      </w:r>
      <w:r w:rsidRPr="00237E34">
        <w:rPr>
          <w:rFonts w:ascii="Times New Roman" w:hAnsi="Times New Roman"/>
          <w:sz w:val="18"/>
          <w:szCs w:val="18"/>
        </w:rPr>
        <w:t>ustawy z dnia … o ochronie praw nabywcy lokalu mieszkalnego lub domu jednorodzinnego oraz o Deweloperskim Funduszu Gwarancyjnym (Dz. U. ….)</w:t>
      </w:r>
      <w:r>
        <w:rPr>
          <w:rFonts w:ascii="Times New Roman" w:hAnsi="Times New Roman"/>
          <w:sz w:val="18"/>
          <w:szCs w:val="18"/>
        </w:rPr>
        <w:t xml:space="preserve"> w</w:t>
      </w:r>
      <w:r w:rsidRPr="00F84C86">
        <w:rPr>
          <w:rFonts w:ascii="Times New Roman" w:hAnsi="Times New Roman"/>
          <w:sz w:val="18"/>
          <w:szCs w:val="18"/>
        </w:rPr>
        <w:t>ysokość składki jest wyliczana według stawki procentowej obowiązującej w dniu rozpoczęcia sprzedaży lokali mieszkalnych lub domów jednorodzinnych w ramach danego przedsięwzięcia dewelopersk</w:t>
      </w:r>
      <w:r>
        <w:rPr>
          <w:rFonts w:ascii="Times New Roman" w:hAnsi="Times New Roman"/>
          <w:sz w:val="18"/>
          <w:szCs w:val="18"/>
        </w:rPr>
        <w:t>iego lub zadania inwestycyjnego</w:t>
      </w:r>
      <w:r w:rsidRPr="00F84C8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Natomiast stawkę procentową </w:t>
      </w:r>
      <w:r w:rsidRPr="00E6714E">
        <w:rPr>
          <w:rFonts w:ascii="Times New Roman" w:hAnsi="Times New Roman"/>
          <w:sz w:val="18"/>
          <w:szCs w:val="18"/>
        </w:rPr>
        <w:t>określa</w:t>
      </w:r>
      <w:r>
        <w:rPr>
          <w:rFonts w:ascii="Times New Roman" w:hAnsi="Times New Roman"/>
          <w:sz w:val="18"/>
          <w:szCs w:val="18"/>
        </w:rPr>
        <w:t xml:space="preserve"> akt wykonawczy wydany </w:t>
      </w:r>
      <w:r w:rsidRPr="00E6714E">
        <w:rPr>
          <w:rFonts w:ascii="Times New Roman" w:hAnsi="Times New Roman"/>
          <w:sz w:val="18"/>
          <w:szCs w:val="18"/>
        </w:rPr>
        <w:t>na podstawie art. 48 ust.</w:t>
      </w:r>
      <w:r>
        <w:rPr>
          <w:rFonts w:ascii="Times New Roman" w:hAnsi="Times New Roman"/>
          <w:sz w:val="18"/>
          <w:szCs w:val="18"/>
        </w:rPr>
        <w:t xml:space="preserve"> </w:t>
      </w:r>
      <w:r w:rsidRPr="00E6714E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 xml:space="preserve"> </w:t>
      </w:r>
      <w:r w:rsidRPr="00E6714E">
        <w:rPr>
          <w:rFonts w:ascii="Times New Roman" w:hAnsi="Times New Roman"/>
          <w:sz w:val="18"/>
          <w:szCs w:val="18"/>
        </w:rPr>
        <w:t>ustawy z dnia … o ochronie praw nabywcy lokalu mieszkalnego lub domu jednorodzinnego oraz o Deweloperskim Funduszu Gwarancyjnym.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20659"/>
    <w:multiLevelType w:val="hybridMultilevel"/>
    <w:tmpl w:val="9CE0C802"/>
    <w:lvl w:ilvl="0" w:tplc="C2CE12C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2764B05"/>
    <w:multiLevelType w:val="hybridMultilevel"/>
    <w:tmpl w:val="29FE3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97B32"/>
    <w:multiLevelType w:val="hybridMultilevel"/>
    <w:tmpl w:val="DDEE7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9737E"/>
    <w:multiLevelType w:val="hybridMultilevel"/>
    <w:tmpl w:val="E102BAC4"/>
    <w:lvl w:ilvl="0" w:tplc="93A817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F2555"/>
    <w:multiLevelType w:val="hybridMultilevel"/>
    <w:tmpl w:val="9BBAA0D6"/>
    <w:lvl w:ilvl="0" w:tplc="7C1A5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FB0839"/>
    <w:multiLevelType w:val="hybridMultilevel"/>
    <w:tmpl w:val="60586770"/>
    <w:lvl w:ilvl="0" w:tplc="75BAFD5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E1"/>
    <w:rsid w:val="003D403D"/>
    <w:rsid w:val="006828CF"/>
    <w:rsid w:val="00B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7CBEA-C76E-4603-BF4A-633E7825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2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28E1"/>
    <w:rPr>
      <w:sz w:val="20"/>
      <w:szCs w:val="20"/>
    </w:rPr>
  </w:style>
  <w:style w:type="character" w:styleId="Odwoanieprzypisudolnego">
    <w:name w:val="footnote reference"/>
    <w:uiPriority w:val="99"/>
    <w:semiHidden/>
    <w:rsid w:val="00BD28E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28E1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styleId="Hipercze">
    <w:name w:val="Hyperlink"/>
    <w:uiPriority w:val="99"/>
    <w:unhideWhenUsed/>
    <w:rsid w:val="00BD28E1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2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D28E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kretariat@budot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5380</Words>
  <Characters>32286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DUTKIEWICZ</dc:creator>
  <cp:keywords/>
  <dc:description/>
  <cp:lastModifiedBy>Klaudia DUTKIEWICZ</cp:lastModifiedBy>
  <cp:revision>1</cp:revision>
  <dcterms:created xsi:type="dcterms:W3CDTF">2025-09-02T08:03:00Z</dcterms:created>
  <dcterms:modified xsi:type="dcterms:W3CDTF">2025-09-02T08:06:00Z</dcterms:modified>
</cp:coreProperties>
</file>