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53" w:rsidRPr="00657584" w:rsidRDefault="00265753" w:rsidP="00265753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7584">
        <w:rPr>
          <w:rFonts w:ascii="Arial" w:eastAsia="Times New Roman" w:hAnsi="Arial" w:cs="Arial"/>
          <w:b/>
          <w:bCs/>
          <w:sz w:val="20"/>
          <w:szCs w:val="20"/>
        </w:rPr>
        <w:t xml:space="preserve">Stan na dzień sporządzenia prospektu informacyjnego: </w:t>
      </w:r>
      <w:r>
        <w:rPr>
          <w:rFonts w:ascii="Arial" w:eastAsia="Times New Roman" w:hAnsi="Arial" w:cs="Arial"/>
          <w:b/>
          <w:sz w:val="20"/>
          <w:szCs w:val="20"/>
        </w:rPr>
        <w:t>………..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>.2025r.</w:t>
      </w:r>
    </w:p>
    <w:p w:rsidR="00265753" w:rsidRPr="00657584" w:rsidRDefault="00265753" w:rsidP="00265753">
      <w:pPr>
        <w:spacing w:before="60" w:after="6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265753" w:rsidRPr="00657584" w:rsidRDefault="00265753" w:rsidP="00265753">
      <w:pPr>
        <w:spacing w:beforeLines="60" w:before="144" w:afterLines="60" w:after="144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657584">
        <w:rPr>
          <w:rFonts w:ascii="Arial" w:eastAsia="Calibri" w:hAnsi="Arial" w:cs="Arial"/>
          <w:b/>
          <w:sz w:val="20"/>
          <w:szCs w:val="20"/>
        </w:rPr>
        <w:t xml:space="preserve">PROSPEKT INFORMACYJNY </w:t>
      </w:r>
    </w:p>
    <w:p w:rsidR="00265753" w:rsidRPr="00657584" w:rsidRDefault="00265753" w:rsidP="00265753">
      <w:pPr>
        <w:spacing w:before="60" w:after="6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265753" w:rsidRPr="00657584" w:rsidRDefault="00265753" w:rsidP="00265753">
      <w:pPr>
        <w:spacing w:beforeLines="60" w:before="144" w:afterLines="60" w:after="144" w:line="240" w:lineRule="auto"/>
        <w:outlineLvl w:val="0"/>
        <w:rPr>
          <w:rFonts w:ascii="Arial" w:eastAsia="Calibri" w:hAnsi="Arial" w:cs="Arial"/>
          <w:b/>
          <w:sz w:val="20"/>
          <w:szCs w:val="20"/>
        </w:rPr>
      </w:pPr>
      <w:r w:rsidRPr="00657584">
        <w:rPr>
          <w:rFonts w:ascii="Arial" w:eastAsia="Calibri" w:hAnsi="Arial" w:cs="Arial"/>
          <w:b/>
          <w:sz w:val="20"/>
          <w:szCs w:val="20"/>
        </w:rPr>
        <w:t>CZĘŚĆ OGÓLNA</w:t>
      </w:r>
    </w:p>
    <w:p w:rsidR="00265753" w:rsidRPr="00657584" w:rsidRDefault="00265753" w:rsidP="00265753">
      <w:pPr>
        <w:spacing w:after="0" w:line="240" w:lineRule="auto"/>
        <w:outlineLvl w:val="0"/>
        <w:rPr>
          <w:rFonts w:ascii="Arial" w:eastAsia="Calibri" w:hAnsi="Arial" w:cs="Arial"/>
          <w:b/>
          <w:sz w:val="20"/>
          <w:szCs w:val="20"/>
        </w:rPr>
      </w:pPr>
    </w:p>
    <w:p w:rsidR="00265753" w:rsidRPr="00657584" w:rsidRDefault="00265753" w:rsidP="002657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7584">
        <w:rPr>
          <w:rFonts w:ascii="Arial" w:eastAsia="Times New Roman" w:hAnsi="Arial" w:cs="Arial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420"/>
      </w:tblGrid>
      <w:tr w:rsidR="00265753" w:rsidRPr="00657584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DANE DEWELOPERA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75"/>
        </w:trPr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Deweloper</w:t>
            </w:r>
          </w:p>
        </w:tc>
        <w:tc>
          <w:tcPr>
            <w:tcW w:w="6660" w:type="dxa"/>
            <w:gridSpan w:val="2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 Przedsiębiorstwo Budowlane Budotex Spółka z ograniczoną odpowiedzialnością.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KRS - 0000001813</w:t>
            </w:r>
          </w:p>
        </w:tc>
      </w:tr>
      <w:tr w:rsidR="00265753" w:rsidRPr="00657584" w:rsidTr="004E5EE1">
        <w:trPr>
          <w:trHeight w:val="1327"/>
        </w:trPr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660" w:type="dxa"/>
            <w:gridSpan w:val="2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ul. Wyścigowa 56G/3a, 53-012 Wrocław</w:t>
            </w:r>
          </w:p>
        </w:tc>
      </w:tr>
      <w:tr w:rsidR="00265753" w:rsidRPr="00657584" w:rsidTr="004E5EE1">
        <w:trPr>
          <w:trHeight w:val="188"/>
        </w:trPr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89901068</w:t>
            </w:r>
            <w:r w:rsidRPr="0065758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20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006022824</w:t>
            </w:r>
          </w:p>
        </w:tc>
      </w:tr>
      <w:tr w:rsidR="00265753" w:rsidRPr="00657584" w:rsidTr="004E5EE1"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Numer telefonu</w:t>
            </w:r>
          </w:p>
        </w:tc>
        <w:tc>
          <w:tcPr>
            <w:tcW w:w="6660" w:type="dxa"/>
            <w:gridSpan w:val="2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71 786 6530</w:t>
            </w:r>
          </w:p>
        </w:tc>
      </w:tr>
      <w:tr w:rsidR="00265753" w:rsidRPr="00657584" w:rsidTr="004E5EE1">
        <w:trPr>
          <w:trHeight w:val="272"/>
        </w:trPr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657584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sekretariat@budotex.pl</w:t>
              </w:r>
            </w:hyperlink>
          </w:p>
        </w:tc>
      </w:tr>
      <w:tr w:rsidR="00265753" w:rsidRPr="00657584" w:rsidTr="004E5EE1"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Numer faksu</w:t>
            </w:r>
          </w:p>
        </w:tc>
        <w:tc>
          <w:tcPr>
            <w:tcW w:w="6660" w:type="dxa"/>
            <w:gridSpan w:val="2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218"/>
        </w:trPr>
        <w:tc>
          <w:tcPr>
            <w:tcW w:w="298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Adres strony internetowej dewelopera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www.budotex.pl</w:t>
            </w:r>
          </w:p>
        </w:tc>
      </w:tr>
    </w:tbl>
    <w:p w:rsidR="00265753" w:rsidRPr="00657584" w:rsidRDefault="00265753" w:rsidP="0026575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ascii="Arial" w:eastAsia="Times New Roman" w:hAnsi="Arial" w:cs="Arial"/>
          <w:b/>
          <w:sz w:val="20"/>
          <w:szCs w:val="20"/>
        </w:rPr>
      </w:pPr>
      <w:r w:rsidRPr="00657584">
        <w:rPr>
          <w:rFonts w:ascii="Arial" w:eastAsia="Times New Roman" w:hAnsi="Arial" w:cs="Arial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265753" w:rsidRPr="00657584" w:rsidTr="004E5EE1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>HISTORIA I UDOKUMENTOWANE DOŚWIADCZENIE DEWELOPERA</w:t>
            </w:r>
          </w:p>
          <w:p w:rsidR="00265753" w:rsidRPr="00657584" w:rsidRDefault="00265753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Maj 1989r. – Rozpoczęcie działalności spółki pod firmą PTU Budotex Sp. z o.o. (Przedsiębiorstwo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Techniczno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Usługowe Budotex Sp. z o.o.). Firma działała realizując inwestycje mieszkaniowe jako generalny wykonawca dla spółdzielni mieszkaniowych we Wrocławiu.</w:t>
            </w:r>
          </w:p>
          <w:p w:rsidR="00265753" w:rsidRPr="00657584" w:rsidRDefault="00265753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1995r. – Firma rozpoczęła działalność deweloperską na własny rachunek oraz działalność w zakresie zarządzania nieruchomościami.</w:t>
            </w:r>
          </w:p>
          <w:p w:rsidR="00265753" w:rsidRPr="00657584" w:rsidRDefault="00265753" w:rsidP="004E5EE1">
            <w:pPr>
              <w:numPr>
                <w:ilvl w:val="0"/>
                <w:numId w:val="6"/>
              </w:numPr>
              <w:spacing w:before="120" w:after="10" w:line="260" w:lineRule="exact"/>
              <w:ind w:right="-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1999r. – Zmiana nazwy firmy z PTU Budotex Sp. z o.o., na PB Budotex Sp. z o.o. (Przedsiębiorstwo Budowlane Budotex Sp. z o.o.).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Ważniejsze inwestycje mieszkaniowe wykonane przez PB Budotex Sp. z o.o.: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1.Jako generalny wykonawca: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Komuny Paryskiej 15-15a,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Długiej 66-68a i Poznańskiej 31-37, Wrocław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lastRenderedPageBreak/>
              <w:t>2.Jako Deweloper: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</w:t>
            </w:r>
            <w:r w:rsidRPr="00657584">
              <w:rPr>
                <w:rFonts w:ascii="Arial" w:hAnsi="Arial" w:cs="Arial"/>
                <w:bCs/>
                <w:kern w:val="36"/>
                <w:sz w:val="20"/>
                <w:szCs w:val="20"/>
              </w:rPr>
              <w:t>Budynki mieszkalno-usługowe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 wielorodzinne</w:t>
            </w:r>
            <w:r w:rsidRPr="00657584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przy ulicy Prądzyńskiego 4-6</w:t>
            </w:r>
            <w:r w:rsidRPr="00657584">
              <w:rPr>
                <w:rFonts w:ascii="Arial" w:hAnsi="Arial" w:cs="Arial"/>
                <w:sz w:val="20"/>
                <w:szCs w:val="20"/>
              </w:rPr>
              <w:t>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Wałbrzyskiej 25-29a i Cukrowej 7-11a,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Poniatowskiego     5-7a,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mieszkalno-usługowe wielorodzinne przy ulicy Wałbrzyskiej 9-15a,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Budynek mieszkalny wielorodzinny przy ulicy Wałbrzyskiej 19–19a,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Budynek mieszkalno-usługowy wielorodzinny w zabudowie plombowej przy ulicy Kościuszki 128,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ulicy Cukrowej 14-16a,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ulicy Cukrowej 18-20a,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Budynek mieszkalny wielorodzinny z garażem podziemnym przy ulicy Cukrowej 22-22a,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mieszkalne wielorodzinne z garażami podziemnymi przy ulicy Cukrowej 13-15c,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Budynek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apartamentowo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– usługowy wielorodzinny przy ulicy Krzyckiej 86-86h,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Budynki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– usługowe wielorodzinne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z garażem podziemnym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 przy Ołtaszyńskiej 92a-92g,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Budynki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- usługowe wielorodzinne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 xml:space="preserve">z garażami podziemnymi </w:t>
            </w:r>
            <w:r w:rsidRPr="00657584">
              <w:rPr>
                <w:rFonts w:ascii="Arial" w:hAnsi="Arial" w:cs="Arial"/>
                <w:sz w:val="20"/>
                <w:szCs w:val="20"/>
              </w:rPr>
              <w:t>przy ulicy Strońskiej 7-9a i Czerniawskiej 4-4c,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● Budynek mieszkalny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 wielorodzinny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 xml:space="preserve"> z garażem podziemnym przy ulicy Supińskiego 6-6a,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Budynek mieszkalny wielorodzinny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 xml:space="preserve">z garażem podziemnym 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ulicy Dożynkowej 3a,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● Zespół willi miejskich z garażami podziemnymi przy ulicy Wietrznej 109a-g,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● Budynek mieszkalny wielorodzinny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 xml:space="preserve">z garażem podziemnym 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ulicy Cukrowej 5-5a,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● Zespół willi miejskich z garażami podziemnymi przy ulicy Szarugi 3-13b, Wrocław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● Budynek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mieszkalno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– usługowy wielorodzinny 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z garażem podziemnym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 przy ulicy Jeździeckiej 2a-4, Wrocław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● Budynek biurowo-usługowy przy ulicy Wyścigowej 56G, Wrocław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657584">
              <w:rPr>
                <w:rFonts w:ascii="Arial" w:hAnsi="Arial" w:cs="Arial"/>
                <w:sz w:val="20"/>
                <w:szCs w:val="20"/>
              </w:rPr>
              <w:t>● Zespół budynków mieszkalnych wielorodzinnych z podziemnymi garażami przy ul. Opoczyńskiej 21-43 we Wrocławiu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● Budynki mieszkalne wielorodzinne z garażem podziemnym przy ul. Birmańskiej 11-12, Wrocław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● Budynek mieszkalno-usługowy z garażami przy ul.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Poelziga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14, Wrocław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● Budynki mieszkalny i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aparthotel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przy ul. Rogowskiej 129-129a, Wrocław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●  Budynki mieszkalny i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aparthotel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lokalami usługowymi</w:t>
            </w:r>
            <w:r w:rsidRPr="00657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 ul. Jeździeckiej 6-8a</w:t>
            </w:r>
            <w:r w:rsidRPr="00657584">
              <w:rPr>
                <w:rFonts w:ascii="Arial" w:hAnsi="Arial" w:cs="Arial"/>
                <w:sz w:val="20"/>
                <w:szCs w:val="20"/>
              </w:rPr>
              <w:t>, Wrocław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Łącznie firma wybudowała ponad 1700 lokali mieszkalnych i użytkowych w ponad 50 budynkach, o powierzchni całkowitej ponad 120.000m</w:t>
            </w:r>
            <w:r w:rsidRPr="00657584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65753" w:rsidRPr="00657584" w:rsidRDefault="00265753" w:rsidP="004E5EE1">
            <w:pPr>
              <w:spacing w:before="120" w:after="10" w:line="260" w:lineRule="exact"/>
              <w:ind w:right="-57"/>
              <w:rPr>
                <w:rFonts w:ascii="Arial" w:hAnsi="Arial" w:cs="Arial"/>
                <w:noProof/>
                <w:sz w:val="20"/>
                <w:szCs w:val="20"/>
              </w:rPr>
            </w:pP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Firma jest zarządcą nieruchomości o powierzchni ponad 150.000m</w:t>
            </w:r>
            <w:r w:rsidRPr="00657584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65758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265753" w:rsidRPr="00657584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PRZYKŁAD UKOŃCZONEGO PRZEDSIĘWZIĘCIA DEWELOPERSKIEGO (należy wskazać, o ile istnieją, trzy ukończone przedsięwzięcia deweloperskie, w tym ostatnie)</w:t>
            </w:r>
          </w:p>
        </w:tc>
      </w:tr>
      <w:tr w:rsidR="00265753" w:rsidRPr="00657584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ul. Rogowska 129, Wrocław, Nowy Dwór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23.03.2020r.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26.08.2021r.</w:t>
            </w:r>
          </w:p>
        </w:tc>
      </w:tr>
      <w:tr w:rsidR="00265753" w:rsidRPr="00657584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>PRZYKŁAD INNEGO UKOŃCZONEGO PRZEDSIĘWZIĘCIA DEWELOPERSKIEGO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Adres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657584">
              <w:rPr>
                <w:rFonts w:ascii="Arial" w:hAnsi="Arial" w:cs="Arial"/>
                <w:sz w:val="20"/>
                <w:szCs w:val="20"/>
              </w:rPr>
              <w:t>Poelziga</w:t>
            </w:r>
            <w:proofErr w:type="spellEnd"/>
            <w:r w:rsidRPr="00657584">
              <w:rPr>
                <w:rFonts w:ascii="Arial" w:hAnsi="Arial" w:cs="Arial"/>
                <w:sz w:val="20"/>
                <w:szCs w:val="20"/>
              </w:rPr>
              <w:t xml:space="preserve"> 14, Wrocław, Żerniki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01.04.2019r.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23.04.2021r.</w:t>
            </w:r>
          </w:p>
        </w:tc>
      </w:tr>
      <w:tr w:rsidR="00265753" w:rsidRPr="00657584" w:rsidTr="004E5EE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>PRZYKŁAD OSTATNIEGO UKOŃCZONEGO PRZEDSIĘWZIĘCIA DEWELOPERSKIEGO</w:t>
            </w:r>
          </w:p>
          <w:p w:rsidR="00265753" w:rsidRPr="00657584" w:rsidRDefault="00265753" w:rsidP="004E5EE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135"/>
        </w:trPr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ul. Jeździecka 6-</w:t>
            </w:r>
            <w:r>
              <w:rPr>
                <w:rFonts w:ascii="Arial" w:hAnsi="Arial" w:cs="Arial"/>
                <w:sz w:val="20"/>
                <w:szCs w:val="20"/>
              </w:rPr>
              <w:t>8a</w:t>
            </w:r>
            <w:r w:rsidRPr="00657584">
              <w:rPr>
                <w:rFonts w:ascii="Arial" w:hAnsi="Arial" w:cs="Arial"/>
                <w:sz w:val="20"/>
                <w:szCs w:val="20"/>
              </w:rPr>
              <w:t>, Wrocław, Partynice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10.03.2021r.</w:t>
            </w:r>
          </w:p>
        </w:tc>
      </w:tr>
      <w:tr w:rsidR="00265753" w:rsidRPr="00657584" w:rsidTr="004E5EE1">
        <w:tc>
          <w:tcPr>
            <w:tcW w:w="2813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18.03.2025</w:t>
            </w:r>
            <w:r w:rsidRPr="0065758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</w:tbl>
    <w:p w:rsidR="00265753" w:rsidRPr="00657584" w:rsidRDefault="00265753" w:rsidP="00265753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265753" w:rsidRPr="00657584" w:rsidTr="004E5EE1">
        <w:tc>
          <w:tcPr>
            <w:tcW w:w="2808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265753" w:rsidRPr="00657584" w:rsidRDefault="00265753" w:rsidP="00265753">
      <w:pPr>
        <w:spacing w:beforeLines="60" w:before="144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265753" w:rsidRPr="00657584" w:rsidRDefault="00265753" w:rsidP="0026575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57584">
        <w:rPr>
          <w:rFonts w:ascii="Arial" w:eastAsia="Times New Roman" w:hAnsi="Arial" w:cs="Arial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5117"/>
      </w:tblGrid>
      <w:tr w:rsidR="00265753" w:rsidRPr="00657584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>INFORMACJE DOTYCZĄCE GRUNTU I ZAGOSPODAROWANIA PRZESTRZENNEGO TERENU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135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Adres i numer działki ewidencyjnej i obrębu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7668" w:type="dxa"/>
            <w:gridSpan w:val="2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Biestrzyków, ul. Jesionowa 30-36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Nr działki ewidencyjnej: 98/4, AM-1, w obrębie Biestrzyków, jednostka ewidencyjna Siechnice- obszar wiejski.</w:t>
            </w:r>
          </w:p>
        </w:tc>
      </w:tr>
      <w:tr w:rsidR="00265753" w:rsidRPr="00657584" w:rsidTr="004E5EE1">
        <w:trPr>
          <w:trHeight w:val="98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93054C">
              <w:rPr>
                <w:rFonts w:ascii="Arial" w:hAnsi="Arial" w:cs="Arial"/>
                <w:sz w:val="20"/>
                <w:szCs w:val="20"/>
              </w:rPr>
              <w:t>WR1O/00079989/4</w:t>
            </w:r>
          </w:p>
        </w:tc>
      </w:tr>
      <w:tr w:rsidR="00265753" w:rsidRPr="00657584" w:rsidTr="004E5EE1">
        <w:trPr>
          <w:trHeight w:val="98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Istniejące obciążenia hipoteczne nieruchomości lub wnioski o wpis w dziale czwartym księgi wieczystej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97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księgi wieczystej informacja o powierzchni działki i 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stanie prawnym nieruchomości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2"/>
              <w:t>2)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97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Informacje dotyczące obiektów istniejących położonych w sąsiedztwie inwestycji i wpływających na warunki życia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3"/>
              <w:t>3)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brak</w:t>
            </w:r>
          </w:p>
        </w:tc>
      </w:tr>
      <w:tr w:rsidR="00265753" w:rsidRPr="00657584" w:rsidTr="004E5EE1">
        <w:trPr>
          <w:trHeight w:val="320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 planowania przestrzennego i inne akty prawne na podstawie przepisów odrębnych na terenie objętym przedsięwzięciem deweloperskim lub zadaniem inwestycyjnym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Ramowe studium uwarunkowań i kierunków zagospodarowania przestrzennego związku metropolitalnego</w:t>
            </w:r>
          </w:p>
        </w:tc>
        <w:tc>
          <w:tcPr>
            <w:tcW w:w="5117" w:type="dxa"/>
            <w:vMerge w:val="restart"/>
            <w:shd w:val="clear" w:color="auto" w:fill="auto"/>
          </w:tcPr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  <w:r w:rsidRPr="00657584">
              <w:rPr>
                <w:rFonts w:ascii="Arial" w:hAnsi="Arial" w:cs="Arial"/>
                <w:lang w:val="pl-PL" w:eastAsia="pl-PL"/>
              </w:rPr>
              <w:t xml:space="preserve">Uchwały nr XLVII/406/02 </w:t>
            </w:r>
          </w:p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  <w:r w:rsidRPr="00657584">
              <w:rPr>
                <w:rFonts w:ascii="Arial" w:hAnsi="Arial" w:cs="Arial"/>
                <w:lang w:val="pl-PL" w:eastAsia="pl-PL"/>
              </w:rPr>
              <w:t xml:space="preserve">Rady Gminy Święta Katarzyna </w:t>
            </w:r>
          </w:p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  <w:r w:rsidRPr="00657584">
              <w:rPr>
                <w:rFonts w:ascii="Arial" w:hAnsi="Arial" w:cs="Arial"/>
                <w:lang w:val="pl-PL" w:eastAsia="pl-PL"/>
              </w:rPr>
              <w:t xml:space="preserve">z dnia 27 czerwca 2002 roku. </w:t>
            </w:r>
          </w:p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</w:p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  <w:r w:rsidRPr="00657584">
              <w:rPr>
                <w:rFonts w:ascii="Arial" w:hAnsi="Arial" w:cs="Arial"/>
                <w:lang w:val="pl-PL" w:eastAsia="pl-PL"/>
              </w:rPr>
              <w:t xml:space="preserve">W sprawie uchwalenia miejscowego planu zagospodarowania przestrzennego obrębu Biestrzyków (gmina Święta Katarzyna). 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Studium uwarunkowań i kierunków zagospodarowania przestrzennego gminy</w:t>
            </w:r>
          </w:p>
        </w:tc>
        <w:tc>
          <w:tcPr>
            <w:tcW w:w="5117" w:type="dxa"/>
            <w:vMerge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5117" w:type="dxa"/>
            <w:vMerge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Miejscowy plan rewitalizacji</w:t>
            </w:r>
          </w:p>
        </w:tc>
        <w:tc>
          <w:tcPr>
            <w:tcW w:w="5117" w:type="dxa"/>
            <w:vMerge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5117" w:type="dxa"/>
            <w:vMerge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17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Inne</w:t>
            </w: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vertAlign w:val="superscript"/>
                <w:lang w:eastAsia="pl-PL"/>
              </w:rPr>
              <w:footnoteReference w:customMarkFollows="1" w:id="4"/>
              <w:t>4)</w:t>
            </w: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17" w:type="dxa"/>
            <w:vMerge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60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Ustalenia obowiązującego miejscowego planu zagospodarowania przestrzennego dla terenu objętego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przedsięwzięciem deweloperskim lub zadaniem inwestycyjnym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Przeznaczenie terenu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1) utrzymanie istniejących obiektów służących funkcjom gospodarczym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2) lokalizację zabudowy mieszkaniowej z towarzyszącym nowymi, nieuciążliwymi funkcjami gospodarczymi, np. usługowymi, produkcyjnymi (z wyjątkiem produkcji rolnej) i magazynowymi, 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usytuowanymi w budynku mieszkalnym i zajmującymi nie więcej niż 40% jego powierzchni użytkowej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3) zieleń urządzoną (z wyjątkiem cmentarzy)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4) terenowe obiekty i urządzenia sportowo-rekreacyjne, w tym dla dzieci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5) przeprowadzenie ulic wewnętrznych,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6) organizowanie parkingów, miejsc postojowych dla rowerów i budowę garaży wbudowanych w obiekty, 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7) przeprowadzanie sieci infrastruktury technicznej oraz lokalizację obiektów i urządzeń towarzyszących tej sieci, 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Do 30% 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12m.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50%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Nie określono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1. Należy zapewnić dostęp do cieków (rowów) i zbiorników wód powierzchniowych dla służb odpowiedzialnych za ich eksploatację oraz służb ratowniczych. W szczególności zakazuje się wznoszenia nowych budynków w odległości 3 m od górnej krawędzi koryta (zbiornika), z dopuszczeniem odstępstw od tego wymogu w granicach stref "A" i "B" ochrony konserwatorskiej. Dopuszcza się zmianę zasięgu zbiorników oraz zmianę przebiegu odcinków rowów, a także ich przykrycie lub zarurowanie, pod warunkiem, że nie pogorszy to stosunków gruntowo-wodnych i za zgodą zarządcy rowu. W przypadku zniszczenia urządzeń melioracyjnych należy je odtworzyć (w uzgodnieniu z zarządcą tych urządzeń).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2. Wycinkę drzew innych niż owocowe ograniczyć do niezbędnego minimum, wynikającego z racjonalnego zagospodarowania terenu.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3. Wszelkie powierzchnie nie zabudowane i nie utwardzone powinny być pokryte zielenią lub uprawami rolnymi, warzywnymi, sadowniczymi; stanowić więc powinny tzw. Powierzchnie biologicznie czynne.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4. Lokalizacja i forma reklam nie może wprowadzać dysharmonii wizualnej w krajobrazie.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5. Uciążliwość dla środowiska istniejących i planowanych obiektów różnych funkcji nie może powodować obniżenia standardów wymaganych przepisami szczególnymi dla sąsiadujących terenów, w 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szczególności mieszkaniowych i o innych chronionych funkcjach.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6. Budynki z pomieszczeniami przeznaczonymi na pobyt ludzi powinny być sytuowane poza zasięgiem uciążliwości określonym w przepisach o ochronie środowiska lub w ich zasięgu, pod warunkiem zastosowania w nich rozwiązań odpowiednio ograniczających te uciążliwości. Dotyczy to w szczególności uciążliwości wywoływanych ruchem na drogach (ulicach) powiatowych.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Drogi (ulice) wewnętrzne powinny być zbudowane w sposób umożliwiający dogodną obsługę wszystkich nieruchomości (które obsługują); winny one spełniać warunki techniczne wymagane co najmniej dla ulic dojazdowych (D), przy czym w szczególności ich szerokość w liniach rozgraniczających nie powinna być mniejsza niż 10 m; dopuszcza się zastosowanie mniejszych szerokości jedynie na obszarach objętych strefami ochrony konserwatorskiej "A" i "B"</w:t>
            </w:r>
          </w:p>
        </w:tc>
      </w:tr>
      <w:tr w:rsidR="00265753" w:rsidRPr="00657584" w:rsidTr="004E5EE1">
        <w:trPr>
          <w:trHeight w:val="5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1. Nowo realizowane liniowe elementy infrastruktury technicznej, z wyjątkiem odcinków linii energetycznych średniego napięcia, mają być usytuowane pod ziemią oraz przebiegać/znajdować się w liniach rozgraniczających ulic/dróg (ogólnodostępnych publicznych oraz wewnętrznych), pod warunkiem, że nie będą kolidowały z ich funkcjami komunikacyjnymi, z zastrzeżeniem ust. 2. Jeżeli umożliwiają to istniejące warunki, w pasach drogowych należy również lokalizować towarzyszące sieciom urządzenia. Ponadto dla realizacji sieci i urządzeń, zarówno podziemnych, jak i nadziemnych, wskazuje się tereny oznaczone symbolem "EE", dla których zasady zagospodarowania określono w Rozdziale II.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2. Dopuszcza się: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1) przeprowadzenie/usytuowanie wybranych nowych elementów sieci i lokalizację urządzeń infrastruktury 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technicznej na innych niż wymienione w ust. 1 terenach, o ile nie zostaną zakłócone podstawowe funkcje tych terenów i nie zostanie zajęte więcej niż 10% powierzchni jednostki terenowej; urządzenia infrastruktury technicznej towarzyszące elementom liniowym mogą być lokalizowane zarówno jako podziemne i jako nadziemne, w tym w zależności od uwarunkowań technicznych - jako wolnostojące lub wbudowane w inne obiekty.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2) przeprowadzanie napowietrznych przyłączy z istniejących napowietrznych linii przesyłowych: energetycznych i telekomunikacyjnych czasowo (tj. zanim linie zostaną skablowane i puszczone pod ziemią).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3. Przy projektowaniu nowych inwestycji należy unikać kolizji z istniejącymi elementami infrastruktury technicznej. W przypadku kolizji projektowanego zagospodarowania z tymi elementami należy je przenieść lub odpowiednio zmodyfikować, przy uwzględnieniu uwarunkowań wynikających z przepisów szczególnych oraz w uzgodnieniu z odpowiednim operatorem sieci.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4. Obsługę obszaru objętego planem w zakresie infrastruktury technicznej określa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sięnastępująco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1) zaopatrzenie w wodę poprzez podłączenie do komunalnej sieci wodociągowej, do sieci innych podmiotów lub z własnych ujęć. Sieci wodociągowe, m.in. poprzez wyposażenie w hydranty naziemne, powinny być dostosowane do wykorzystania w sytuacjach kryzysowych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2) ścieki sanitarne powinny być kierowane do sieci komunalnej lub systemem szczelnych kanałów na nie komunalną oczyszczalnię spełniającą wymagania wynikające z obowiązujących przepisów. Dopuszcza się, do czasu realizacji w pobliżu systemu kanalizacyjnego, gromadzenie ścieków w szczelnych zbiornikach i ich systematyczny wywóz na oczyszczalnię, o której była mowa wcześniej, pod warunkiem spełnienia obowiązujących w tym zakresie przepisów. Na terenach wyposażonych w kanalizację sanitarną, wszystkie obiekty, w których mogą powstawać ścieki sanitarne, powinny być niezwłocznie podłączone do tej kanalizacji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3) wszelkie ulice, place, parkingi, dojazdy o utwardzonej nawierzchni winny być wyposażone w systemy odprowadzania wód opadowych; w przypadku zastosowania nawierzchni częściowo utwardzonych ("ażurowych") należy odpowiednio zabezpieczyć środowisko gruntowo-wodne przed infiltracją zanieczyszczeń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4) wody opadowe, o których mowa w pkt. 3, przed zrzutem do cieków powierzchniowych i gruntu, winny być odpowiednio podczyszczone; może to być realizowane na obszarze planu lub poza jego granicami; 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warunki zrzutu powinny być uzgadniane z właściwym zarządcą rowu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5) zaopatrzenie w energię elektryczną - siecią średniego i/lub niskiego napięcia, odpowiednio do potrzeb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6) zaopatrzenie w gaz płynny lub, po zbudowaniu odpowiednich instalacji, w gaz sieciowy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7) dopuszcza się systemy ogrzewania oparte na cieple przesyłanym z elektrociepłowni, bądź na elektryczności, gazie lub oleju; dopuszcza się też niekonwencjonalne, proekologiczne systemy ogrzewania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8) telefonizacja - poprzez podłączenie do dostępnych systemów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9) gromadzenie i odprowadzanie odpadów stałych zgodnie z obowiązującymi regulacjami prawnymi - powszechnymi i miejscowymi. W szczególności wszystkie nieruchomości, na terenie których mogą być wytwarzane odpady, winny być wyposażone w urządzenia służące do gromadzenia odpadów. Urządzenia te należy utrzymywać w odpowiednim stanie sanitarnym. W przypadku składowania odpadów (lub innych materiałów) na terenie nieruchomości, należy miejsce tego składowania zabezpieczyć przed infiltracją odcieków do gruntu.</w:t>
            </w:r>
          </w:p>
        </w:tc>
      </w:tr>
      <w:tr w:rsidR="00265753" w:rsidRPr="00657584" w:rsidTr="004E5EE1">
        <w:trPr>
          <w:trHeight w:val="288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customMarkFollows="1" w:id="5"/>
              <w:t>*</w:t>
            </w: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pStyle w:val="HTML-wstpniesformatowany"/>
              <w:jc w:val="both"/>
              <w:rPr>
                <w:rFonts w:ascii="Arial" w:hAnsi="Arial" w:cs="Arial"/>
                <w:lang w:val="pl-PL" w:eastAsia="pl-PL"/>
              </w:rPr>
            </w:pPr>
            <w:r w:rsidRPr="00657584">
              <w:rPr>
                <w:rFonts w:ascii="Arial" w:hAnsi="Arial" w:cs="Arial"/>
                <w:lang w:val="pl-PL" w:eastAsia="pl-PL"/>
              </w:rPr>
              <w:t xml:space="preserve">Dane według uchwały nr XLVII/406/02 Rady Gminy Święta Katarzyna z dnia 27 czerwca 2002 roku. w sprawie uchwalenia miejscowego planu zagospodarowania przestrzennego obrębu Biestrzyków (gmina Święta Katarzyna). </w:t>
            </w:r>
          </w:p>
          <w:p w:rsidR="00265753" w:rsidRDefault="00265753" w:rsidP="004E5E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Sąsiadujące działki – 5/7, 5/8 znajdujące się od strony wschodniej oraz działka –98/3 znajdująca się od strony zachodniej, na terenie oznaczonym wg planu symbolem M dla których ustalono następujące przeznaczenie:</w:t>
            </w:r>
          </w:p>
          <w:p w:rsidR="00265753" w:rsidRPr="00657584" w:rsidRDefault="00265753" w:rsidP="004E5EE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1) utrzymanie istniejących obiektów służących funkcjom gospodarczym, z zastrzeżeniem § 5 ust. 5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2) lokalizację zabudowy mieszkaniowej z towarzyszącym nowymi, nieuciążliwymi funkcjami gospodarczymi, np. usługowymi, produkcyjnymi (z wyjątkiem produkcji rolnej) i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magazynowymi, usytuowanymi w budynku mieszkalnym i zajmującymi nie więcej niż 40% jego powierzchni użytkowej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3) zieleń urządzoną (z wyjątkiem cmentarzy)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4) terenowe obiekty i urządzenia sportowo-rekreacyjne, w tym dla dzieci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5) przeprowadzenie ulic wewnętrznych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>6) organizowanie parkingów, miejsc postojowych dla rowerów i budowę garaży wbudowanych w obiekty</w:t>
            </w:r>
            <w:r w:rsidRPr="00657584">
              <w:rPr>
                <w:rFonts w:ascii="Arial" w:hAnsi="Arial" w:cs="Arial"/>
                <w:sz w:val="20"/>
                <w:szCs w:val="20"/>
              </w:rPr>
              <w:br/>
              <w:t xml:space="preserve">7) przeprowadzanie sieci infrastruktury technicznej </w:t>
            </w:r>
            <w:r w:rsidRPr="00657584">
              <w:rPr>
                <w:rFonts w:ascii="Arial" w:hAnsi="Arial" w:cs="Arial"/>
                <w:sz w:val="20"/>
                <w:szCs w:val="20"/>
              </w:rPr>
              <w:lastRenderedPageBreak/>
              <w:t>oraz lokalizację obiektów i urządzeń towarzyszących tej sieci</w:t>
            </w:r>
          </w:p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Sąsiadująca działka – 3/17 znajdująca się od strony południowo-zachodniej na terenie oznaczonym wg planu symbolem KD-12, dla której ustalono następujące przeznaczenie:</w:t>
            </w:r>
          </w:p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-ulice dojazdowe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i minimalna intensywność zabudowy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Dla działek 5/7, 5/8, 98/3 maksymalnie do 50% powierzchni działki.</w:t>
            </w:r>
          </w:p>
        </w:tc>
      </w:tr>
      <w:tr w:rsidR="00265753" w:rsidRPr="00657584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Dla działek 5/7, 5/8, 98/3 maksymalna wysokość budynków 12m, mierzona od poziomu terenu do górnego punktu dachu,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50%</w:t>
            </w:r>
          </w:p>
        </w:tc>
      </w:tr>
      <w:tr w:rsidR="00265753" w:rsidRPr="00657584" w:rsidTr="004E5EE1">
        <w:trPr>
          <w:trHeight w:val="288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Nie określono</w:t>
            </w:r>
          </w:p>
        </w:tc>
      </w:tr>
      <w:tr w:rsidR="00265753" w:rsidRPr="00657584" w:rsidTr="004E5EE1">
        <w:trPr>
          <w:trHeight w:val="1687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Funkcja zabudowy i zagospodarowania terenu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Univers-PL" w:hAnsi="Arial" w:cs="Arial"/>
                <w:sz w:val="20"/>
                <w:szCs w:val="20"/>
                <w:lang w:eastAsia="pl-PL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Univers-PL" w:hAnsi="Arial" w:cs="Arial"/>
                <w:sz w:val="20"/>
                <w:szCs w:val="20"/>
                <w:lang w:eastAsia="pl-PL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Univers-PL" w:hAnsi="Arial" w:cs="Arial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Cechy zabudowy i zagospodarowania terenu: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wymagania dotyczące zabudowy i zagospodarowania terenu położonego na obszarach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szczególnego zagrożenia powodzią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3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Informacje dotyczące przewidzianych inwestycji w promieniu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657584">
                <w:rPr>
                  <w:rFonts w:ascii="Arial" w:eastAsia="Times New Roman" w:hAnsi="Arial" w:cs="Arial"/>
                  <w:sz w:val="20"/>
                  <w:szCs w:val="20"/>
                </w:rPr>
                <w:t>1 km</w:t>
              </w:r>
            </w:smartTag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od przedmiotowej nieruchomości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6"/>
              <w:t>5)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, zawarte w:</w:t>
            </w:r>
          </w:p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studium uwarunkowań i kierunków zagospodarowania przestrzennego gminy 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decyzjach o środowiskowych uwarunkowaniach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miejscowych planach odbudowy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7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Ustalenia decyzji w zakresie rozmieszczenia inwestycji celu publicznego, mogące mieć znaczenie dla terenu objętego przedsięwzięciem deweloperskim lub zadaniem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inwestycyjnym:</w:t>
            </w:r>
          </w:p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84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81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390"/>
        </w:trPr>
        <w:tc>
          <w:tcPr>
            <w:tcW w:w="9648" w:type="dxa"/>
            <w:gridSpan w:val="3"/>
            <w:shd w:val="clear" w:color="auto" w:fill="D9D9D9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>INFORMACJE DOTYCZĄCE BUDYNKU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Czy jest pozwolenie na budowę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7"/>
              <w:t>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</w:rPr>
              <w:t>nie*</w:t>
            </w:r>
          </w:p>
        </w:tc>
      </w:tr>
      <w:tr w:rsidR="00265753" w:rsidRPr="00657584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Czy pozwolenie na budowę jest ostateczne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tak*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</w:rPr>
              <w:t>nie*</w:t>
            </w:r>
          </w:p>
        </w:tc>
      </w:tr>
      <w:tr w:rsidR="00265753" w:rsidRPr="00657584" w:rsidTr="004E5EE1">
        <w:trPr>
          <w:trHeight w:val="390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Czy pozwolenie na budowę jest zaskarżone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</w:rPr>
              <w:t>tak*</w:t>
            </w:r>
          </w:p>
        </w:tc>
        <w:tc>
          <w:tcPr>
            <w:tcW w:w="5117" w:type="dxa"/>
            <w:shd w:val="clear" w:color="auto" w:fill="auto"/>
            <w:vAlign w:val="center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nie*</w:t>
            </w:r>
          </w:p>
        </w:tc>
      </w:tr>
      <w:tr w:rsidR="00265753" w:rsidRPr="00657584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1) decyzja nr 3468, wydana dnia 19 października 2021r. z upoważnienia Starosty Powiatu Wrocławskiego przez Dyrektora Wydziału Architektury i Budownictwa, zatwierdzającej projekt budowlany i udzielającej pozwolenia na budowę. Decyzja stała się ostateczna dnia 28.10.2021 czego poświadczenie znajduje się na tym samym dokumencie i zostało wydane z upoważnienia Starosty Powiatu Wrocławskiego przez Podinspektora Wydziału Architektury i Budownictwa. Do decyzji wydano postanowienie nr 2747/2021 dnia 20 października 2021r. sprostowujące oczywistą omyłkę dotyczącą oznaczenia działki gruntu.</w:t>
            </w:r>
          </w:p>
        </w:tc>
      </w:tr>
      <w:tr w:rsidR="00265753" w:rsidRPr="00657584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Data zakończenia budowy domu jednorodzinnego 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95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Rozpoczęto: 10.01.2022 r.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Zakończenie: 31.05</w:t>
            </w:r>
            <w:r w:rsidRPr="00657584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265753" w:rsidRPr="00657584" w:rsidTr="004E5EE1">
        <w:trPr>
          <w:trHeight w:val="325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Opis przedsięwzięcia deweloperskiego albo zadania inwestycyjnego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Liczba budynków 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hd w:val="clear" w:color="auto" w:fill="FFFFFF"/>
              <w:spacing w:before="30" w:line="270" w:lineRule="exact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cztery budynki mieszkalne jednorodzinne, dwulokalowe</w:t>
            </w:r>
          </w:p>
        </w:tc>
      </w:tr>
      <w:tr w:rsidR="00265753" w:rsidRPr="00657584" w:rsidTr="004E5EE1">
        <w:trPr>
          <w:trHeight w:val="325"/>
        </w:trPr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5117" w:type="dxa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9DAA2AC" wp14:editId="639F7454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290830</wp:posOffset>
                  </wp:positionV>
                  <wp:extent cx="1485900" cy="1843244"/>
                  <wp:effectExtent l="0" t="0" r="0" b="5080"/>
                  <wp:wrapNone/>
                  <wp:docPr id="6" name="Obraz 6" descr="PZT 98_4-Model numeracja administracyj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ZT 98_4-Model numeracja administracyj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84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584">
              <w:rPr>
                <w:rFonts w:ascii="Arial" w:hAnsi="Arial" w:cs="Arial"/>
                <w:sz w:val="20"/>
                <w:szCs w:val="20"/>
              </w:rPr>
              <w:t>Odległość między budynkiem A oraz A’ = 7,4m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488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Sposób pomiaru powierzchni użytkowej lokalu mieszkalnego albo domu jednorodzinnego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Wg Rozporządzenia Ministra Transportu, Budownictwa i Gospodarki Wodnej z 25.04.2012r. w sprawie szczegółowego zakresu, formy projektu budowlanego</w:t>
            </w:r>
          </w:p>
        </w:tc>
      </w:tr>
      <w:tr w:rsidR="00265753" w:rsidRPr="00657584" w:rsidTr="004E5EE1"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Zamierzony sposób i procentowy udział źródeł finansowania przedsięwzięcia deweloperskiego lub zadania inwestycyjnego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5753" w:rsidRPr="00657584" w:rsidDel="00E703EC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5117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Własne środki – 100%</w:t>
            </w:r>
          </w:p>
        </w:tc>
      </w:tr>
      <w:tr w:rsidR="00265753" w:rsidRPr="00657584" w:rsidTr="004E5EE1"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5117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n.d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265753" w:rsidRPr="00657584" w:rsidTr="004E5EE1">
        <w:trPr>
          <w:trHeight w:val="1481"/>
        </w:trPr>
        <w:tc>
          <w:tcPr>
            <w:tcW w:w="1980" w:type="dxa"/>
            <w:vMerge w:val="restart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Środki ochrony nabywców</w:t>
            </w:r>
          </w:p>
        </w:tc>
        <w:tc>
          <w:tcPr>
            <w:tcW w:w="2551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Otwarty mieszkaniowy rachunek powierniczy*</w:t>
            </w:r>
          </w:p>
        </w:tc>
        <w:tc>
          <w:tcPr>
            <w:tcW w:w="5117" w:type="dxa"/>
          </w:tcPr>
          <w:p w:rsidR="00265753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trike/>
                <w:sz w:val="20"/>
                <w:szCs w:val="20"/>
              </w:rPr>
              <w:t>Zamknięty mieszkaniowy rachunek powierniczy*</w:t>
            </w:r>
          </w:p>
          <w:p w:rsidR="00265753" w:rsidRPr="00750881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Dla tej inwestycji prowadzony jest rachunek OMRP umową z dnia 28.06.2022r. zgodnie z ustawą z dnia 16.09.2011r. (w tym sprzedano i podpisano 3 umowy deweloperskie z nabywcami a dla pozostałych 5 lokali został założony drugi rachunek OMRP, dnia 21.03.2025r. zgodnie z ustawą z dnia 20.05.2021r. o ochronie praw nabywcy lokalu mieszkalnego lub domu jednorodzinnego oraz DFG umowa z dnia 20.03.2025r.</w:t>
            </w:r>
          </w:p>
        </w:tc>
      </w:tr>
      <w:tr w:rsidR="00265753" w:rsidRPr="00657584" w:rsidTr="004E5EE1">
        <w:tc>
          <w:tcPr>
            <w:tcW w:w="1980" w:type="dxa"/>
            <w:vMerge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customMarkFollows="1" w:id="8"/>
              <w:t>6)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0,45%</w:t>
            </w:r>
          </w:p>
        </w:tc>
      </w:tr>
      <w:tr w:rsidR="00265753" w:rsidRPr="00657584" w:rsidTr="004E5EE1"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Główne zasady funkcjonowania wybranego rodzaju zabezpieczenia środków nabywcy</w:t>
            </w:r>
          </w:p>
        </w:tc>
        <w:tc>
          <w:tcPr>
            <w:tcW w:w="7668" w:type="dxa"/>
            <w:gridSpan w:val="2"/>
          </w:tcPr>
          <w:p w:rsidR="00265753" w:rsidRPr="000F37C4" w:rsidRDefault="00265753" w:rsidP="004E5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DEWELOPER oświadcza, że zawarł w dniu 28.06.2022r. z Bankiem Spółdzielczym w Oleśnicy Oddział w Dobroszycach umowę o prowadzenie należącego do DEWELOPERA otwartego mieszkaniowego rachunku powierniczego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prowadzony zgodnie z ustawą z dnia 16.09.2021r. Sprzedano i podpisano 3 umowy deweloperskie z nabywcami a dla pozostałych 5 lokali mieszkalnych został założony drugi rachunek OMRP zgodnie z ustawą z dnia 20.05.2021r. o ochronie praw nabywcy lokalu mieszkalnego lub domu jednorodzinnego oraz DFG umową z dnia 20.03.2025r.</w:t>
            </w:r>
            <w:r w:rsidRPr="00657584">
              <w:rPr>
                <w:rFonts w:ascii="Arial" w:hAnsi="Arial" w:cs="Arial"/>
                <w:sz w:val="20"/>
                <w:szCs w:val="20"/>
              </w:rPr>
              <w:t>. Zgodnie z powyższą umową zasady dysponowania środkami zgromadzonymi na otwartym mieszkaniowym rachunku powierniczym OMRP są następujące: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DEWELOPER i Nabywca nie posiadają uprawnień do dysponowania środkami zgromadzonymi na OMRP, w tym w szczególności – składania dyspozycji wypłaty tych środków, za wyjątkiem sytuacji wskazanych wyraźnie w Umowie.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Wypłaty z OMRP będą dokonywane na podstawie dyspozycji DEWELOPERA, z zastrzeżeniem pkt. d, o ile spełnione zostaną warunki określone w pkt. e-l.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lastRenderedPageBreak/>
              <w:t>Wypłata, o której mowa w pkt. b, dokonywana po zakończeniu danego etapu jest sumą wypłat dokonywanych z indywidualnych mieszkaniowych subkont OMRP, z zastrzeżeniem pkt. d.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Kwota wypłaty DEWELOPEROWI na podstawie jego dyspozycji z indywidualnego subkonta OMRP nie może być wyższa niż wysokość procentowego zaawansowania danego etapu przedsięwzięcia deweloperskiego wynikającego z harmonogramu, o którym mowa w prospekcie informacyjnym, w stosunku do ceny nabycia wynikającej z Umowy deweloperskiej.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DEWELOPER ma prawo do dysonowania środkami pieniężnymi zgromadzonymi na OMRP, wyłącznie w celu realizacji przedsięwzięcia deweloperskiego.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 tym celu DEWELOPER składa w banku dyspozycję przekazania środków pieniężnych, według załącznika nr 4 do Umowy o prowadzenie OMRP, podpisaną zgodnie ze wzorami podpisów złożonymi przez DEWELOPERA na Karcie Wzorów Podpisów.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 xml:space="preserve">Wypłata środków z OMRP następuje po stwierdzeniu przez Bank zakończenia danego etapu realizacji przedsięwzięcia deweloperskiego, na rachunek bieżący DEWELOPERA nr </w:t>
            </w:r>
            <w:r w:rsidRPr="00657584">
              <w:rPr>
                <w:rFonts w:ascii="Arial" w:hAnsi="Arial" w:cs="Arial"/>
                <w:b/>
                <w:sz w:val="20"/>
                <w:szCs w:val="20"/>
              </w:rPr>
              <w:t xml:space="preserve">25 9584 1034 2004 0400 7625 0001, </w:t>
            </w:r>
            <w:r w:rsidRPr="00657584">
              <w:rPr>
                <w:rFonts w:ascii="Arial" w:hAnsi="Arial" w:cs="Arial"/>
                <w:sz w:val="20"/>
                <w:szCs w:val="20"/>
              </w:rPr>
              <w:t>prowadzony w Banku, w terminie 15 dni roboczych od dnia złożenia dyspozycji wpłaty, o której mowa w pkt. f. Niedopuszczalne jest powstanie salda debetowego na subkoncie</w:t>
            </w:r>
            <w:r w:rsidRPr="006575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7584">
              <w:rPr>
                <w:rFonts w:ascii="Arial" w:hAnsi="Arial" w:cs="Arial"/>
                <w:sz w:val="20"/>
                <w:szCs w:val="20"/>
              </w:rPr>
              <w:t>OMRP.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Bank przed dokonaniem wypłaty środków pieniężnych z OMRP na rzecz DEWELOPERA, dokonuje kontroli zakończenia etapu przedsięwzięcia deweloperskiego, za który ma być dokonana wypłata. Koszt każdorazowej kontroli ponosi DEWELOPER.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Kontrola dokonywana jest przez wyznaczoną przez Bank osobę posiadającą odpowiednie uprawnienia budowlane na podstawie wpisu kierownika budowy w dzienniku budowy i jego porównania z rzeczywistym stanem budowy.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Dokonując kontroli zakończenia etapu przedsięwzięcia deweloperskiego, Bank ma prawo wglądu do rachunków bankowych DEWELOPERA, kontroli dokumentacji przedsięwzięcia deweloperskiego oraz wejścia na teren budowy przedsięwzięcia deweloperskiego.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Raporty z kontroli wykonywanej przed uruchomieniem środków z rachunków będą wydawane w dwóch egzemplarzach, po jednym dla Banku i DEWELOPERA.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 przypadku, gdy kontrola zakończenia etapu przedsięwzięcia deweloperskiego dała wynik negatywny, Bank w terminie, o którym mowa w pkt. g, informuje DEWELOPERA i Nabywców o odmownie dokonania wypłaty wraz ze wskazaniem przyczyny.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Bank nie będzie dokonywał wypłat z OMRP, w przypadku:</w:t>
            </w:r>
          </w:p>
          <w:p w:rsidR="00265753" w:rsidRPr="00657584" w:rsidRDefault="00265753" w:rsidP="00265753">
            <w:pPr>
              <w:numPr>
                <w:ilvl w:val="2"/>
                <w:numId w:val="8"/>
              </w:numPr>
              <w:spacing w:after="0" w:line="240" w:lineRule="auto"/>
              <w:ind w:left="1236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Niewykonania etapu, który uruchamia wypłatę z OMRP;</w:t>
            </w:r>
          </w:p>
          <w:p w:rsidR="00265753" w:rsidRPr="00657584" w:rsidRDefault="00265753" w:rsidP="00265753">
            <w:pPr>
              <w:numPr>
                <w:ilvl w:val="2"/>
                <w:numId w:val="8"/>
              </w:numPr>
              <w:spacing w:after="0" w:line="240" w:lineRule="auto"/>
              <w:ind w:left="12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Unieważnienia, wygaśnięcia lub uchylenia decyzji w sprawie pozwolenia na budowę;</w:t>
            </w:r>
          </w:p>
          <w:p w:rsidR="00265753" w:rsidRPr="00657584" w:rsidRDefault="00265753" w:rsidP="00265753">
            <w:pPr>
              <w:numPr>
                <w:ilvl w:val="2"/>
                <w:numId w:val="8"/>
              </w:numPr>
              <w:spacing w:after="0" w:line="240" w:lineRule="auto"/>
              <w:ind w:left="12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Złożenia przez DEWELOPERA wniosku o ogłoszenie upadłości lub wszczęcie postępowania naprawczego;</w:t>
            </w:r>
          </w:p>
          <w:p w:rsidR="00265753" w:rsidRPr="00657584" w:rsidRDefault="00265753" w:rsidP="00265753">
            <w:pPr>
              <w:numPr>
                <w:ilvl w:val="2"/>
                <w:numId w:val="8"/>
              </w:numPr>
              <w:spacing w:after="0" w:line="240" w:lineRule="auto"/>
              <w:ind w:left="12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Przekazania przez DEWELOPERA informacji nieprawdziwych w dotychczasowych oświadczeniach skierowanych do Banku w związku z prowadzeniem OMRP.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 przypadku odstąpienia od Umowy deweloperskiej zgodnie z art. 29 Ustawy o ochronie praw nabywcy lokalu mieszkalnego lub domu jednorodzinnego przez jedną ze stron, Bank wypłaca Nabywcy przypadające mu środki pozostałe na OMRP, niezwłocznie po otrzymaniu oświadczenia o odstąpieniu od Umowy deweloperskiej.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W przypadku rozwiązania Umowy deweloperskiej, innego niż na podstawie art. 29 Ustawy o ochronie praw nabywcy lokalu mieszkalnego lub domu jednorodzinnego. Strony Umowy deweloperskiej przedstawią zgodne oświadczenie woli o sposobie podziału środków pieniężnych zgromadzonych przez Nabywcę na subkoncie OMRP.</w:t>
            </w:r>
          </w:p>
          <w:p w:rsidR="00265753" w:rsidRPr="00657584" w:rsidRDefault="00265753" w:rsidP="00265753">
            <w:pPr>
              <w:numPr>
                <w:ilvl w:val="1"/>
                <w:numId w:val="7"/>
              </w:numPr>
              <w:spacing w:after="0" w:line="240" w:lineRule="auto"/>
              <w:ind w:left="6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lastRenderedPageBreak/>
              <w:t>Bank wypłaca środki zgromadzone na rachunku w nominalnej wysokości, niezwłocznie po otrzymaniu oświadczeń, o których mowa w pkt. o.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Koszty prowadzenia wyżej wymienionego rachunku zawiera załącznik nr 4 do Umowy deweloperskiej.</w:t>
            </w:r>
          </w:p>
        </w:tc>
      </w:tr>
      <w:tr w:rsidR="00265753" w:rsidRPr="00657584" w:rsidTr="004E5EE1">
        <w:trPr>
          <w:trHeight w:val="293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Nazwa instytucji zapewniającej bezpieczeństwo środków nabywcy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hAnsi="Arial" w:cs="Arial"/>
                <w:sz w:val="20"/>
                <w:szCs w:val="20"/>
              </w:rPr>
              <w:t>Bank Spółdzielczy w Oleśnicy, ulica Wrocławska 36, Oddział Dobroszyce</w:t>
            </w:r>
          </w:p>
        </w:tc>
      </w:tr>
      <w:tr w:rsidR="00265753" w:rsidRPr="00657584" w:rsidTr="004E5EE1">
        <w:trPr>
          <w:trHeight w:val="488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7668" w:type="dxa"/>
            <w:gridSpan w:val="2"/>
            <w:shd w:val="clear" w:color="auto" w:fill="auto"/>
          </w:tcPr>
          <w:tbl>
            <w:tblPr>
              <w:tblW w:w="7331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6797"/>
            </w:tblGrid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Grunt - nabycie prawa własności, dokumentacja projekto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wa, pozwolenie na budowę – 17,50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roboty przygotowawcze, stan zerowy stanu surowego, ściany no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śne parteru, przyłącze wody – 12,50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strop nad parterem, ściany nośne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piętra – 11,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sta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 surowy, więźba dachowa – 11,60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rPr>
                <w:trHeight w:val="269"/>
              </w:trPr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ind w:right="3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pokrycie dachowe, okna dachowe, stolarka okienna,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roboty wykończeniowe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30% – 12,40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ind w:right="3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instalacje sanitarne + wentylacja bez urządzeń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c.o. 60% bez źródła ciepła, roboty wykończeniowe </w:t>
                  </w:r>
                  <w:proofErr w:type="spellStart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. 50%, instalacje elekt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ryczne bez osprzętu 50%, - 10,50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sieci sanitarne </w:t>
                  </w:r>
                  <w:proofErr w:type="spellStart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. 70%, instalacje sanitarne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wentylacja bez urządzeń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c.o. 20% bez źródła ciepła, instalacje elektryczne bez osprzętu 30%,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elewacja 90%, roboty wykończeniowe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. 10%, ślusarka stalowa 50% - 13,70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%,</w:t>
                  </w:r>
                </w:p>
              </w:tc>
            </w:tr>
            <w:tr w:rsidR="00265753" w:rsidRPr="00657584" w:rsidTr="004E5EE1">
              <w:tc>
                <w:tcPr>
                  <w:tcW w:w="534" w:type="dxa"/>
                  <w:shd w:val="clear" w:color="auto" w:fill="auto"/>
                </w:tcPr>
                <w:p w:rsidR="00265753" w:rsidRPr="00657584" w:rsidRDefault="00265753" w:rsidP="004E5E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797" w:type="dxa"/>
                  <w:shd w:val="clear" w:color="auto" w:fill="auto"/>
                </w:tcPr>
                <w:p w:rsidR="00265753" w:rsidRPr="00657584" w:rsidRDefault="00265753" w:rsidP="004E5EE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sieci sanitarne </w:t>
                  </w:r>
                  <w:proofErr w:type="spellStart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. 30%, instalacje sanitarne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wentylacja z urządzeniami +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c.o. 20% ze źródłem ciepła, instalacje elektryczne 20% z osprzętem, roboty zewnętrzne, ślusarka stalowa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50%, elewacja 10%, roboty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 xml:space="preserve">wykończeniowe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wewn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10%, dokumentacja powykonawcza, zaświadczenie o braku podstaw do wniesien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ia sprzeciwu na użytkowanie – 10,00</w:t>
                  </w:r>
                  <w:r w:rsidRPr="00657584">
                    <w:rPr>
                      <w:rFonts w:ascii="Arial" w:hAnsi="Arial" w:cs="Arial"/>
                      <w:sz w:val="20"/>
                      <w:szCs w:val="20"/>
                    </w:rPr>
                    <w:t>%.</w:t>
                  </w:r>
                </w:p>
              </w:tc>
            </w:tr>
          </w:tbl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292"/>
        </w:trPr>
        <w:tc>
          <w:tcPr>
            <w:tcW w:w="1980" w:type="dxa"/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Dopuszczenie waloryzacji ceny oraz określenie zasad waloryzacji</w:t>
            </w:r>
          </w:p>
        </w:tc>
        <w:tc>
          <w:tcPr>
            <w:tcW w:w="7668" w:type="dxa"/>
            <w:gridSpan w:val="2"/>
            <w:shd w:val="clear" w:color="auto" w:fill="auto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Brak waloryzacji</w:t>
            </w:r>
          </w:p>
        </w:tc>
      </w:tr>
      <w:tr w:rsidR="00265753" w:rsidRPr="00657584" w:rsidTr="004E5EE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WARUNKI ODSTĄPIENIA OD UMOWY DEWELOPERSKIEJ LUB UMOWY, O KTÓREJ MOWA W ART. 2 UST. 1 PKT 2, 3 LUB 5 USTAWY Z DNIA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20.05.2021r.</w:t>
            </w: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 OCHRONIE PRAW NABYWCY LOKALU MIESZKALNEGO LUB DOMU JEDNORODZINNEGO ORAZ O DEWELOPERSKIM FUNDUSZU GWARANCYJNYM (Dz. U.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2021 poz. 1177)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151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Należy opisać, na jakich warunkach można odstąpić od umowy deweloperskiej lub jednej z umów, o których mowa w art. 2 ust. 1 pkt 2, 3 lub 5 ustawy z dnia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20.05.2021r.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o ochronie praw nabywcy lokalu mieszkalnego lub domu jednorodzinnego oraz o Deweloperskim Funduszu Gwarancyjnym</w:t>
            </w:r>
          </w:p>
        </w:tc>
        <w:tc>
          <w:tcPr>
            <w:tcW w:w="7668" w:type="dxa"/>
            <w:gridSpan w:val="2"/>
          </w:tcPr>
          <w:p w:rsidR="0026575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Art.43</w:t>
            </w:r>
            <w:r w:rsidRPr="00657584">
              <w:rPr>
                <w:rFonts w:ascii="Arial" w:hAnsi="Arial" w:cs="Arial"/>
                <w:sz w:val="20"/>
                <w:szCs w:val="20"/>
              </w:rPr>
              <w:t>.[Odstąp</w:t>
            </w:r>
            <w:r>
              <w:rPr>
                <w:rFonts w:ascii="Arial" w:hAnsi="Arial" w:cs="Arial"/>
                <w:sz w:val="20"/>
                <w:szCs w:val="20"/>
              </w:rPr>
              <w:t xml:space="preserve">ienie od umowy deweloperskiej] </w:t>
            </w:r>
          </w:p>
          <w:p w:rsidR="0026575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 xml:space="preserve">1. Nabywca ma prawo odstąpić od umowy deweloperskiej albo </w:t>
            </w:r>
            <w:proofErr w:type="spellStart"/>
            <w:r w:rsidRPr="00257763">
              <w:rPr>
                <w:rFonts w:ascii="Arial" w:hAnsi="Arial" w:cs="Arial"/>
                <w:sz w:val="20"/>
                <w:szCs w:val="20"/>
              </w:rPr>
              <w:t>umowy,o</w:t>
            </w:r>
            <w:proofErr w:type="spellEnd"/>
            <w:r w:rsidRPr="00257763">
              <w:rPr>
                <w:rFonts w:ascii="Arial" w:hAnsi="Arial" w:cs="Arial"/>
                <w:sz w:val="20"/>
                <w:szCs w:val="20"/>
              </w:rPr>
              <w:t xml:space="preserve"> której mowa w art. 2 ust. 1 pkt 2, 3 lub 5: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1) jeżeli umowa deweloperska albo umowa, o której mowa w art. 2 ust. 1 pkt 2,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lub 5, nie zawiera odpowiednio elementów, o których mowa w art. 35, albo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elementów, o których mowa w art. 36;</w:t>
            </w:r>
          </w:p>
          <w:p w:rsidR="0026575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lastRenderedPageBreak/>
              <w:t>2) jeżeli informacje zawarte w umowie deweloperskiej albo umowie, o której mowa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w art. 2 ust. 1 pkt 2, 3 lub 5, nie są zgodne z informacjami zawartymi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 xml:space="preserve">w prospekcie informacyjnym lub jego załącznikach, z wyjątkiem </w:t>
            </w:r>
            <w:proofErr w:type="spellStart"/>
            <w:r w:rsidRPr="00257763">
              <w:rPr>
                <w:rFonts w:ascii="Arial" w:hAnsi="Arial" w:cs="Arial"/>
                <w:sz w:val="20"/>
                <w:szCs w:val="20"/>
              </w:rPr>
              <w:t>zmian,o</w:t>
            </w:r>
            <w:proofErr w:type="spellEnd"/>
            <w:r w:rsidRPr="00257763">
              <w:rPr>
                <w:rFonts w:ascii="Arial" w:hAnsi="Arial" w:cs="Arial"/>
                <w:sz w:val="20"/>
                <w:szCs w:val="20"/>
              </w:rPr>
              <w:t xml:space="preserve"> których mowa w art. 35 ust. 2;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3) jeżeli deweloper nie doręczył zgodnie z art. 21 lub art. 22 prospektu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informacyjnego wraz z załącznikami lub informacji o zmianie danych lub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informacji zawartych w prospekcie informacyjnym lub jego załącznikach;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4) jeżeli dane lub informacje zawarte w prospekcie informacyjnym lub jego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załącznikach, na podstawie których zawarto umowę deweloperską albo umowę,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o której mowa w art. 2 ust. 1 pkt 2, 3 lub 5, są niezgodne ze stanem faktycznym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lub prawnym w dniu zawarcia umowy;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5) jeżeli prospekt informacyjny, na podstawie którego zawarto umowę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deweloperską albo umowę, o której mowa w art. 2 ust. 1 pkt 2, 3 lub 5,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zawiera danych lub informacji określonych we wzorze prospektu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informacyjnego;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 xml:space="preserve">6) w przypadku </w:t>
            </w:r>
            <w:proofErr w:type="spellStart"/>
            <w:r w:rsidRPr="00257763">
              <w:rPr>
                <w:rFonts w:ascii="Arial" w:hAnsi="Arial" w:cs="Arial"/>
                <w:sz w:val="20"/>
                <w:szCs w:val="20"/>
              </w:rPr>
              <w:t>nieprzeniesienia</w:t>
            </w:r>
            <w:proofErr w:type="spellEnd"/>
            <w:r w:rsidRPr="00257763">
              <w:rPr>
                <w:rFonts w:ascii="Arial" w:hAnsi="Arial" w:cs="Arial"/>
                <w:sz w:val="20"/>
                <w:szCs w:val="20"/>
              </w:rPr>
              <w:t xml:space="preserve"> na nabywcę praw wynikających z umowy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deweloperskiej albo umowy, o której mowa w art. 2 ust. 1 pkt 2, 3 lub 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w terminie wynikającym z tych umów;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7) w przypadku gdy deweloper nie zawrze umowy mieszkaniowego rachunku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powierniczego z innym bankiem lub inną kasą w trybie i terminie, o których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mowa w art. 10 ust. 1;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8) w przypadku gdy deweloper nie posiada zgody wierzyciela hipotecznego lub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zobowiązania do jej udzielenia, o których mowa w art. 25 ust. 1 pkt 1 lub 2;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9) w przypadku niewykonania przez dewelopera obowiązku, o którym mowa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w art. 12 ust. 2, w terminie określonym w tym przepisie;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10) w przypadku nieusunięcia przez dewelopera wady istotnej lokalu mieszkalnego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albo domu jednorodzinnego na zasadach określonych w art. 41 ust. 11;</w:t>
            </w:r>
          </w:p>
          <w:p w:rsidR="00265753" w:rsidRPr="00257763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11) w przypadku stwierdzenia przez rzeczoznawcę istnienia wady istotnej,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mowa w art. 41 ust. 15;</w:t>
            </w:r>
          </w:p>
          <w:p w:rsidR="00265753" w:rsidRPr="00657584" w:rsidRDefault="00265753" w:rsidP="004E5EE1">
            <w:pPr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257763">
              <w:rPr>
                <w:rFonts w:ascii="Arial" w:hAnsi="Arial" w:cs="Arial"/>
                <w:sz w:val="20"/>
                <w:szCs w:val="20"/>
              </w:rPr>
              <w:t>12) jeżeli syndyk zażądał wykonania umowy na podstawie art. 98 ustawy z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763">
              <w:rPr>
                <w:rFonts w:ascii="Arial" w:hAnsi="Arial" w:cs="Arial"/>
                <w:sz w:val="20"/>
                <w:szCs w:val="20"/>
              </w:rPr>
              <w:t>28 lutego 2003 r. – Prawo upadłościowe.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5753" w:rsidRPr="00657584" w:rsidTr="004E5EE1">
        <w:trPr>
          <w:trHeight w:val="510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265753" w:rsidRPr="00657584" w:rsidTr="004E5EE1">
        <w:trPr>
          <w:trHeight w:val="1512"/>
        </w:trPr>
        <w:tc>
          <w:tcPr>
            <w:tcW w:w="9648" w:type="dxa"/>
            <w:gridSpan w:val="3"/>
            <w:tcBorders>
              <w:bottom w:val="nil"/>
            </w:tcBorders>
            <w:shd w:val="clear" w:color="auto" w:fill="F3F3F3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I. Informacja o: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1)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zgodzie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zgodzie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istnieje; 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w przypadku umów, o których mowa w art. 2 ust. 2 ustawy z dnia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20.05.2021r.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o ochronie praw nabywcy lokalu mieszkalnego lub domu jednorodzinnego oraz o Deweloperskim Funduszu Gwarancyjnym, o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 do udzielenia takiej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zgody, jeżeli takie obciążenie istnieje, albo zgodzie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265753" w:rsidRPr="00657584" w:rsidTr="004E5EE1">
        <w:trPr>
          <w:trHeight w:val="1512"/>
        </w:trPr>
        <w:tc>
          <w:tcPr>
            <w:tcW w:w="9648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II. Informacja o możliwości zapoznania się w lokalu przedsiębiorstwa przez osobę zainteresowaną zawarciem umowy odpowiednio do zakresu umowy z: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aktualnym stanem księgi wieczystej;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 lub wydrukiem ze strony internetowej tej ewidencji;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kopią decyzji o pozwoleniu na budowę;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sprawozdaniem finansowym dewelopera za ostatnie dwa lata, a w przypadku realizacji inwestycji przez spółkę celową – sprawozdaniem spółki dominującej oraz spółki celowej;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projektem budowlanym;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kopią decyzji o pozwoleniu na użytkowanie budynku;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zaświadczeniem o samodzielności lokalu;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aktem ustanowienia odrębnej własności lokalu;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38" w:hanging="37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dokumentem potwierdzającym: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zgodę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zobowiązaniem do jej udzielenia, jeżeli takie obciążenie istnieje, albo zgodą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zobowiązaniem do jej udzielenia, jeżeli takie obciążenie istnieje, 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1163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w przypadku umów, o który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ch mowa w art. 2 ust. 2 z dnia 20.05.2021r.</w:t>
            </w: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 o ochronie praw nabywcy lokalu mieszkalnego lub domu jednorodzinnego oraz o Deweloperskim Funduszu Gwarancyjnym, </w:t>
            </w:r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zgodą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zobowiązaniem do udzielenia takiej zgody, jeżeli takie obciążenie istnieje, albo zgodą banku lub innego wierzyciela hipotecznego na </w:t>
            </w:r>
            <w:proofErr w:type="spellStart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bezobciążeniowe</w:t>
            </w:r>
            <w:proofErr w:type="spellEnd"/>
            <w:r w:rsidRPr="006575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zobowiązaniem do udzielenia takiej zgody, jeżeli takie obciążenie istnieje.</w:t>
            </w:r>
          </w:p>
        </w:tc>
      </w:tr>
      <w:tr w:rsidR="00265753" w:rsidRPr="00657584" w:rsidTr="004E5EE1">
        <w:trPr>
          <w:trHeight w:val="1512"/>
        </w:trPr>
        <w:tc>
          <w:tcPr>
            <w:tcW w:w="9648" w:type="dxa"/>
            <w:gridSpan w:val="3"/>
            <w:tcBorders>
              <w:top w:val="nil"/>
            </w:tcBorders>
            <w:shd w:val="clear" w:color="auto" w:fill="FFFFFF"/>
          </w:tcPr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III. Informacja: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Nie dotyczy.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>Dalsze informacje na temat systemu gwarantowania depozytów można uzyskać na stronie internetowej Bankowego Funduszu Gwarancyjnego: https://www.bfg.pl/.</w:t>
            </w:r>
          </w:p>
          <w:p w:rsidR="00265753" w:rsidRPr="00657584" w:rsidRDefault="00265753" w:rsidP="004E5EE1">
            <w:pPr>
              <w:widowControl w:val="0"/>
              <w:numPr>
                <w:ilvl w:val="0"/>
                <w:numId w:val="2"/>
              </w:numPr>
              <w:tabs>
                <w:tab w:val="num" w:pos="314"/>
                <w:tab w:val="left" w:pos="728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3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sz w:val="20"/>
                <w:szCs w:val="20"/>
              </w:rPr>
              <w:t xml:space="preserve">Informacja zamieszczana w przypadku </w:t>
            </w:r>
            <w:r w:rsidRPr="00657584">
              <w:rPr>
                <w:rFonts w:ascii="Arial" w:eastAsia="Times New Roman" w:hAnsi="Arial" w:cs="Arial"/>
                <w:bCs/>
                <w:sz w:val="20"/>
                <w:szCs w:val="20"/>
              </w:rPr>
              <w:t>zawarcia umowy mieszkaniowego rachunku powierniczego z oddziałem instytucji kredytowej, o której mowa w art. 4 ust. 1 pkt 18 ustawy z dnia 29 sierpnia 1997 r. – Prawo bankowe (Dz. U. z 2020 r. poz. 1896, 2320 i 2419).</w:t>
            </w:r>
          </w:p>
          <w:p w:rsidR="00265753" w:rsidRPr="00657584" w:rsidRDefault="00265753" w:rsidP="004E5EE1">
            <w:pPr>
              <w:spacing w:beforeLines="60" w:before="144" w:afterLines="60" w:after="144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57584">
              <w:rPr>
                <w:rFonts w:ascii="Arial" w:eastAsia="Times New Roman" w:hAnsi="Arial" w:cs="Arial"/>
                <w:bCs/>
                <w:sz w:val="20"/>
                <w:szCs w:val="20"/>
              </w:rPr>
              <w:t>Oddział instytucji kredytowej, w rozumieniu art. 4 ust. 1 pkt 18 ustawy z dnia 29 sierpnia 1997 r. – Prawo bankowe jest objęty systemem gwarantowania państwa macierzystego, co oznacza, że nie mają do niego zastosowania przepisy ustawy z dnia 10 czerwca 2016 r. o Bankowym Funduszu Gwarancyjnym systemie gwarantowania depozytów oraz przymusowej restrukturyzacji.</w:t>
            </w:r>
          </w:p>
        </w:tc>
      </w:tr>
    </w:tbl>
    <w:p w:rsidR="006828CF" w:rsidRDefault="006828CF"/>
    <w:sectPr w:rsidR="0068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54" w:rsidRDefault="007E0654" w:rsidP="00265753">
      <w:pPr>
        <w:spacing w:after="0" w:line="240" w:lineRule="auto"/>
      </w:pPr>
      <w:r>
        <w:separator/>
      </w:r>
    </w:p>
  </w:endnote>
  <w:endnote w:type="continuationSeparator" w:id="0">
    <w:p w:rsidR="007E0654" w:rsidRDefault="007E0654" w:rsidP="0026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54" w:rsidRDefault="007E0654" w:rsidP="00265753">
      <w:pPr>
        <w:spacing w:after="0" w:line="240" w:lineRule="auto"/>
      </w:pPr>
      <w:r>
        <w:separator/>
      </w:r>
    </w:p>
  </w:footnote>
  <w:footnote w:type="continuationSeparator" w:id="0">
    <w:p w:rsidR="007E0654" w:rsidRDefault="007E0654" w:rsidP="00265753">
      <w:pPr>
        <w:spacing w:after="0" w:line="240" w:lineRule="auto"/>
      </w:pPr>
      <w:r>
        <w:continuationSeparator/>
      </w:r>
    </w:p>
  </w:footnote>
  <w:footnote w:id="1">
    <w:p w:rsidR="00265753" w:rsidRPr="009017DC" w:rsidRDefault="00265753" w:rsidP="00265753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D376F">
        <w:rPr>
          <w:rStyle w:val="Odwoanieprzypisudolnego"/>
          <w:rFonts w:ascii="Times New Roman" w:hAnsi="Times New Roman"/>
          <w:sz w:val="18"/>
          <w:szCs w:val="18"/>
        </w:rPr>
        <w:t>1)</w:t>
      </w:r>
      <w:r>
        <w:rPr>
          <w:rFonts w:ascii="Times New Roman" w:hAnsi="Times New Roman"/>
          <w:sz w:val="18"/>
          <w:szCs w:val="18"/>
        </w:rPr>
        <w:tab/>
      </w:r>
      <w:r w:rsidRPr="00BD376F">
        <w:rPr>
          <w:rFonts w:ascii="Times New Roman" w:hAnsi="Times New Roman"/>
          <w:sz w:val="18"/>
          <w:szCs w:val="18"/>
        </w:rPr>
        <w:t>J</w:t>
      </w:r>
      <w:r w:rsidRPr="009017DC">
        <w:rPr>
          <w:rFonts w:ascii="Times New Roman" w:hAnsi="Times New Roman"/>
          <w:sz w:val="18"/>
          <w:szCs w:val="18"/>
        </w:rPr>
        <w:t>eżeli działka nie posiada adresu, należy opisowo określić jej położenie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:rsidR="00265753" w:rsidRPr="00143535" w:rsidRDefault="00265753" w:rsidP="0026575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:rsidR="00265753" w:rsidRPr="00143535" w:rsidRDefault="00265753" w:rsidP="0026575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:rsidR="00265753" w:rsidRPr="00143535" w:rsidRDefault="00265753" w:rsidP="002657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dokonania rezerwacji obszaru inwestycji (CPK),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lokalizacji inwestycji mieszkaniowej lub inwestycji towarzyszącej,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wyznaczenia obszarów cichych w aglomeracji lub obszarów cichych poza aglomeracją,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utworzenia obszaru ograniczonego użytkowania,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uznania zabytku za pomnik historii,</w:t>
      </w:r>
    </w:p>
    <w:p w:rsidR="00265753" w:rsidRPr="00143535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:rsidR="00265753" w:rsidRPr="00A80C58" w:rsidRDefault="00265753" w:rsidP="00265753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A80C58"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:rsidR="00265753" w:rsidRPr="00077623" w:rsidRDefault="00265753" w:rsidP="00265753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*</w:t>
      </w:r>
      <w:r>
        <w:t xml:space="preserve"> </w:t>
      </w:r>
      <w:r w:rsidRPr="00077623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</w:t>
      </w:r>
      <w:r>
        <w:rPr>
          <w:rFonts w:ascii="Times New Roman" w:hAnsi="Times New Roman"/>
          <w:sz w:val="18"/>
          <w:szCs w:val="18"/>
        </w:rPr>
        <w:t>.</w:t>
      </w:r>
      <w:r w:rsidRPr="00077623"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:rsidR="00265753" w:rsidRPr="008B0E61" w:rsidRDefault="00265753" w:rsidP="00265753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5)</w:t>
      </w:r>
      <w:r>
        <w:rPr>
          <w:rFonts w:ascii="Times New Roman" w:hAnsi="Times New Roman"/>
          <w:sz w:val="18"/>
          <w:szCs w:val="18"/>
        </w:rPr>
        <w:tab/>
      </w:r>
      <w:r w:rsidRPr="008B0E61">
        <w:rPr>
          <w:rFonts w:ascii="Times New Roman" w:hAnsi="Times New Roman"/>
          <w:sz w:val="18"/>
          <w:szCs w:val="18"/>
        </w:rPr>
        <w:t>Wskazane inwestycje dotyczą w szczególności budowy lub rozbudowy dróg, budowy linii szynowych oraz przewidzianych korytarzy powietrznych, inwestycji komunalnych</w:t>
      </w:r>
      <w:r>
        <w:rPr>
          <w:rFonts w:ascii="Times New Roman" w:hAnsi="Times New Roman"/>
          <w:sz w:val="18"/>
          <w:szCs w:val="18"/>
        </w:rPr>
        <w:t>,</w:t>
      </w:r>
      <w:r w:rsidRPr="008B0E61">
        <w:rPr>
          <w:rFonts w:ascii="Times New Roman" w:hAnsi="Times New Roman"/>
          <w:sz w:val="18"/>
          <w:szCs w:val="18"/>
        </w:rPr>
        <w:t xml:space="preserve"> takich jak: oczyszczalnie ścieków, spalarnie śmieci, wysypiska, cmentarze.</w:t>
      </w:r>
    </w:p>
  </w:footnote>
  <w:footnote w:id="7">
    <w:p w:rsidR="00265753" w:rsidRPr="008B0E61" w:rsidRDefault="00265753" w:rsidP="00265753">
      <w:pPr>
        <w:pStyle w:val="Tekstprzypisudolnego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*</w:t>
      </w:r>
      <w:r w:rsidRPr="008B0E61">
        <w:rPr>
          <w:rFonts w:ascii="Times New Roman" w:hAnsi="Times New Roman"/>
          <w:sz w:val="18"/>
          <w:szCs w:val="18"/>
        </w:rPr>
        <w:t xml:space="preserve"> Niepotrzebne skreślić</w:t>
      </w:r>
      <w:r>
        <w:rPr>
          <w:rFonts w:ascii="Times New Roman" w:hAnsi="Times New Roman"/>
          <w:sz w:val="18"/>
          <w:szCs w:val="18"/>
        </w:rPr>
        <w:t>.</w:t>
      </w:r>
      <w:r w:rsidRPr="008B0E61">
        <w:rPr>
          <w:rFonts w:ascii="Times New Roman" w:hAnsi="Times New Roman"/>
          <w:sz w:val="18"/>
          <w:szCs w:val="18"/>
        </w:rPr>
        <w:t xml:space="preserve"> </w:t>
      </w:r>
    </w:p>
  </w:footnote>
  <w:footnote w:id="8">
    <w:p w:rsidR="00265753" w:rsidRPr="008B0E61" w:rsidRDefault="00265753" w:rsidP="00265753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8B0E61">
        <w:rPr>
          <w:rStyle w:val="Odwoanieprzypisudolnego"/>
          <w:rFonts w:ascii="Times New Roman" w:hAnsi="Times New Roman"/>
          <w:sz w:val="18"/>
          <w:szCs w:val="18"/>
        </w:rPr>
        <w:t>6)</w:t>
      </w:r>
      <w:r>
        <w:rPr>
          <w:rFonts w:ascii="Times New Roman" w:hAnsi="Times New Roman"/>
          <w:sz w:val="18"/>
          <w:szCs w:val="18"/>
        </w:rPr>
        <w:tab/>
        <w:t xml:space="preserve">Zgodnie z art. 48 ust. 6 </w:t>
      </w:r>
      <w:r w:rsidRPr="00237E34">
        <w:rPr>
          <w:rFonts w:ascii="Times New Roman" w:hAnsi="Times New Roman"/>
          <w:sz w:val="18"/>
          <w:szCs w:val="18"/>
        </w:rPr>
        <w:t xml:space="preserve">ustawy z dnia </w:t>
      </w:r>
      <w:r>
        <w:rPr>
          <w:rFonts w:ascii="Times New Roman" w:hAnsi="Times New Roman"/>
          <w:sz w:val="18"/>
          <w:szCs w:val="18"/>
        </w:rPr>
        <w:t>21.05.2021</w:t>
      </w:r>
      <w:r w:rsidRPr="00237E34">
        <w:rPr>
          <w:rFonts w:ascii="Times New Roman" w:hAnsi="Times New Roman"/>
          <w:sz w:val="18"/>
          <w:szCs w:val="18"/>
        </w:rPr>
        <w:t xml:space="preserve"> o ochronie praw nabywcy lokalu mieszkalnego lub domu jednorodzinnego oraz o Deweloperskim Funduszu Gwarancyjnym (Dz. U. </w:t>
      </w:r>
      <w:r>
        <w:rPr>
          <w:rFonts w:ascii="Times New Roman" w:hAnsi="Times New Roman"/>
          <w:sz w:val="18"/>
          <w:szCs w:val="18"/>
        </w:rPr>
        <w:t>2021 poz. 1177) w</w:t>
      </w:r>
      <w:r w:rsidRPr="00F84C86">
        <w:rPr>
          <w:rFonts w:ascii="Times New Roman" w:hAnsi="Times New Roman"/>
          <w:sz w:val="18"/>
          <w:szCs w:val="18"/>
        </w:rPr>
        <w:t>ysokość składki jest wyliczana według stawki procentowej obowiązującej w dniu rozpoczęcia sprzedaży lokali mieszkalnych lub domów jednorodzinnych w ramach danego przedsięwzięcia dewelopersk</w:t>
      </w:r>
      <w:r>
        <w:rPr>
          <w:rFonts w:ascii="Times New Roman" w:hAnsi="Times New Roman"/>
          <w:sz w:val="18"/>
          <w:szCs w:val="18"/>
        </w:rPr>
        <w:t>iego lub zadania inwestycyjnego</w:t>
      </w:r>
      <w:r w:rsidRPr="00F84C8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Natomiast stawkę procentową </w:t>
      </w:r>
      <w:r w:rsidRPr="00E6714E">
        <w:rPr>
          <w:rFonts w:ascii="Times New Roman" w:hAnsi="Times New Roman"/>
          <w:sz w:val="18"/>
          <w:szCs w:val="18"/>
        </w:rPr>
        <w:t>określa</w:t>
      </w:r>
      <w:r>
        <w:rPr>
          <w:rFonts w:ascii="Times New Roman" w:hAnsi="Times New Roman"/>
          <w:sz w:val="18"/>
          <w:szCs w:val="18"/>
        </w:rPr>
        <w:t xml:space="preserve"> akt wykonawczy wydany </w:t>
      </w:r>
      <w:r w:rsidRPr="00E6714E">
        <w:rPr>
          <w:rFonts w:ascii="Times New Roman" w:hAnsi="Times New Roman"/>
          <w:sz w:val="18"/>
          <w:szCs w:val="18"/>
        </w:rPr>
        <w:t>na podstawie art. 48 ust.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</w:t>
      </w:r>
      <w:r w:rsidRPr="00E6714E">
        <w:rPr>
          <w:rFonts w:ascii="Times New Roman" w:hAnsi="Times New Roman"/>
          <w:sz w:val="18"/>
          <w:szCs w:val="18"/>
        </w:rPr>
        <w:t xml:space="preserve">ustawy z dnia </w:t>
      </w:r>
      <w:r>
        <w:rPr>
          <w:rFonts w:ascii="Times New Roman" w:hAnsi="Times New Roman"/>
          <w:sz w:val="18"/>
          <w:szCs w:val="18"/>
        </w:rPr>
        <w:t>20.05.2021</w:t>
      </w:r>
      <w:r w:rsidRPr="00E6714E">
        <w:rPr>
          <w:rFonts w:ascii="Times New Roman" w:hAnsi="Times New Roman"/>
          <w:sz w:val="18"/>
          <w:szCs w:val="18"/>
        </w:rPr>
        <w:t xml:space="preserve"> o ochronie praw nabywcy lokalu mieszkalnego lub domu jednorodzinnego oraz o Deweloperskim Funduszu Gwarancyjnym.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20659"/>
    <w:multiLevelType w:val="hybridMultilevel"/>
    <w:tmpl w:val="9CE0C802"/>
    <w:lvl w:ilvl="0" w:tplc="C2CE12C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DBF570C"/>
    <w:multiLevelType w:val="hybridMultilevel"/>
    <w:tmpl w:val="40706714"/>
    <w:lvl w:ilvl="0" w:tplc="82D0E6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764B05"/>
    <w:multiLevelType w:val="hybridMultilevel"/>
    <w:tmpl w:val="29FE3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4103"/>
    <w:multiLevelType w:val="hybridMultilevel"/>
    <w:tmpl w:val="71AAFFDA"/>
    <w:lvl w:ilvl="0" w:tplc="82D0E6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FB0839"/>
    <w:multiLevelType w:val="hybridMultilevel"/>
    <w:tmpl w:val="60586770"/>
    <w:lvl w:ilvl="0" w:tplc="75BAFD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53"/>
    <w:rsid w:val="00265753"/>
    <w:rsid w:val="006828CF"/>
    <w:rsid w:val="007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0C998-D43C-4253-BD75-706CE73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7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753"/>
    <w:rPr>
      <w:sz w:val="20"/>
      <w:szCs w:val="20"/>
    </w:rPr>
  </w:style>
  <w:style w:type="character" w:styleId="Odwoanieprzypisudolnego">
    <w:name w:val="footnote reference"/>
    <w:uiPriority w:val="99"/>
    <w:semiHidden/>
    <w:rsid w:val="0026575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65753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Hipercze">
    <w:name w:val="Hyperlink"/>
    <w:uiPriority w:val="99"/>
    <w:unhideWhenUsed/>
    <w:rsid w:val="0026575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57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575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kretariat@budot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4983</Words>
  <Characters>29900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DUTKIEWICZ</dc:creator>
  <cp:keywords/>
  <dc:description/>
  <cp:lastModifiedBy>Klaudia DUTKIEWICZ</cp:lastModifiedBy>
  <cp:revision>1</cp:revision>
  <dcterms:created xsi:type="dcterms:W3CDTF">2025-09-02T08:02:00Z</dcterms:created>
  <dcterms:modified xsi:type="dcterms:W3CDTF">2025-09-02T08:03:00Z</dcterms:modified>
</cp:coreProperties>
</file>